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68" w:rsidRDefault="00546163">
      <w:pPr>
        <w:ind w:left="-720" w:right="-612"/>
        <w:jc w:val="center"/>
      </w:pPr>
      <w:r>
        <w:rPr>
          <w:noProof/>
        </w:rPr>
        <w:drawing>
          <wp:inline distT="0" distB="0" distL="0" distR="0">
            <wp:extent cx="6927850" cy="1032510"/>
            <wp:effectExtent l="0" t="0" r="6350" b="0"/>
            <wp:docPr id="1" name="Picture 1" descr="newnrailafactshee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nrailafactsheet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7850" cy="1032510"/>
                    </a:xfrm>
                    <a:prstGeom prst="rect">
                      <a:avLst/>
                    </a:prstGeom>
                    <a:noFill/>
                    <a:ln>
                      <a:noFill/>
                    </a:ln>
                  </pic:spPr>
                </pic:pic>
              </a:graphicData>
            </a:graphic>
          </wp:inline>
        </w:drawing>
      </w:r>
    </w:p>
    <w:p w:rsidR="006125D5" w:rsidRDefault="00D54FC5" w:rsidP="006125D5">
      <w:pPr>
        <w:jc w:val="right"/>
        <w:rPr>
          <w:b/>
          <w:sz w:val="32"/>
          <w:szCs w:val="32"/>
        </w:rPr>
      </w:pPr>
      <w:r>
        <w:rPr>
          <w:sz w:val="20"/>
        </w:rPr>
        <w:t>Augus</w:t>
      </w:r>
      <w:bookmarkStart w:id="0" w:name="_GoBack"/>
      <w:bookmarkEnd w:id="0"/>
      <w:r>
        <w:rPr>
          <w:sz w:val="20"/>
        </w:rPr>
        <w:t>t 8</w:t>
      </w:r>
      <w:r w:rsidR="006125D5" w:rsidRPr="006125D5">
        <w:rPr>
          <w:sz w:val="20"/>
        </w:rPr>
        <w:t>, 2016</w:t>
      </w:r>
      <w:r w:rsidR="00D07836">
        <w:br/>
      </w:r>
    </w:p>
    <w:p w:rsidR="00305859" w:rsidRPr="00305859" w:rsidRDefault="00305859" w:rsidP="006125D5">
      <w:pPr>
        <w:jc w:val="center"/>
        <w:rPr>
          <w:b/>
          <w:color w:val="000000" w:themeColor="text1"/>
          <w:sz w:val="32"/>
          <w:szCs w:val="32"/>
        </w:rPr>
      </w:pPr>
      <w:r w:rsidRPr="00305859">
        <w:rPr>
          <w:b/>
          <w:sz w:val="32"/>
          <w:szCs w:val="32"/>
        </w:rPr>
        <w:t xml:space="preserve">The </w:t>
      </w:r>
      <w:r w:rsidR="00AB1181" w:rsidRPr="00305859">
        <w:rPr>
          <w:b/>
          <w:sz w:val="32"/>
          <w:szCs w:val="32"/>
        </w:rPr>
        <w:t>P</w:t>
      </w:r>
      <w:r w:rsidRPr="00305859">
        <w:rPr>
          <w:b/>
          <w:sz w:val="32"/>
          <w:szCs w:val="32"/>
        </w:rPr>
        <w:t>ittman-Robertson Act</w:t>
      </w:r>
      <w:r w:rsidR="00FE3421">
        <w:rPr>
          <w:b/>
          <w:sz w:val="32"/>
          <w:szCs w:val="32"/>
        </w:rPr>
        <w:t>’s Support to Wildlife</w:t>
      </w:r>
    </w:p>
    <w:p w:rsidR="00305859" w:rsidRDefault="00305859" w:rsidP="00305859">
      <w:pPr>
        <w:pStyle w:val="NoSpacing"/>
        <w:rPr>
          <w:sz w:val="24"/>
          <w:szCs w:val="24"/>
        </w:rPr>
      </w:pPr>
    </w:p>
    <w:p w:rsidR="00305859" w:rsidRPr="00305859" w:rsidRDefault="00305859" w:rsidP="00305859">
      <w:pPr>
        <w:pStyle w:val="NoSpacing"/>
        <w:ind w:firstLine="720"/>
        <w:rPr>
          <w:sz w:val="24"/>
          <w:szCs w:val="24"/>
        </w:rPr>
      </w:pPr>
      <w:r w:rsidRPr="00305859">
        <w:rPr>
          <w:sz w:val="24"/>
          <w:szCs w:val="24"/>
        </w:rPr>
        <w:t>It may be hard to believe today, but in the 1930s the sighting of even one whitetail deer was a notable event. Expansion of the U.S. population into game habitat areas and over-hunting without regulation had caused populations of many game species to plummet. Today, however, the nationwide deer population is nearly 32 million strong.</w:t>
      </w:r>
      <w:r>
        <w:rPr>
          <w:sz w:val="24"/>
          <w:szCs w:val="24"/>
        </w:rPr>
        <w:t xml:space="preserve"> Similar increases have taken place among ducks and wild turkeys.</w:t>
      </w:r>
    </w:p>
    <w:p w:rsidR="00305859" w:rsidRDefault="00305859" w:rsidP="00305859">
      <w:pPr>
        <w:pStyle w:val="NoSpacing"/>
        <w:rPr>
          <w:sz w:val="24"/>
          <w:szCs w:val="24"/>
        </w:rPr>
      </w:pPr>
      <w:r w:rsidRPr="00305859">
        <w:rPr>
          <w:noProof/>
          <w:sz w:val="24"/>
          <w:szCs w:val="24"/>
        </w:rPr>
        <w:drawing>
          <wp:anchor distT="0" distB="0" distL="114300" distR="114300" simplePos="0" relativeHeight="251658240" behindDoc="1" locked="0" layoutInCell="1" allowOverlap="1" wp14:anchorId="74163344" wp14:editId="12B9A95F">
            <wp:simplePos x="0" y="0"/>
            <wp:positionH relativeFrom="margin">
              <wp:align>center</wp:align>
            </wp:positionH>
            <wp:positionV relativeFrom="page">
              <wp:posOffset>3384550</wp:posOffset>
            </wp:positionV>
            <wp:extent cx="4572000" cy="2066544"/>
            <wp:effectExtent l="0" t="0" r="0" b="0"/>
            <wp:wrapTight wrapText="bothSides">
              <wp:wrapPolygon edited="0">
                <wp:start x="0" y="0"/>
                <wp:lineTo x="0" y="21308"/>
                <wp:lineTo x="21510" y="21308"/>
                <wp:lineTo x="21510" y="0"/>
                <wp:lineTo x="0" y="0"/>
              </wp:wrapPolygon>
            </wp:wrapTight>
            <wp:docPr id="2"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572000" cy="2066544"/>
                    </a:xfrm>
                    <a:prstGeom prst="rect">
                      <a:avLst/>
                    </a:prstGeom>
                  </pic:spPr>
                </pic:pic>
              </a:graphicData>
            </a:graphic>
            <wp14:sizeRelH relativeFrom="margin">
              <wp14:pctWidth>0</wp14:pctWidth>
            </wp14:sizeRelH>
            <wp14:sizeRelV relativeFrom="margin">
              <wp14:pctHeight>0</wp14:pctHeight>
            </wp14:sizeRelV>
          </wp:anchor>
        </w:drawing>
      </w:r>
    </w:p>
    <w:p w:rsidR="00305859" w:rsidRDefault="00305859" w:rsidP="00305859">
      <w:pPr>
        <w:pStyle w:val="NoSpacing"/>
        <w:ind w:firstLine="720"/>
        <w:rPr>
          <w:sz w:val="24"/>
          <w:szCs w:val="24"/>
        </w:rPr>
      </w:pPr>
    </w:p>
    <w:p w:rsidR="00FE3421" w:rsidRPr="00305859" w:rsidRDefault="00305859" w:rsidP="00FE3421">
      <w:pPr>
        <w:pStyle w:val="NoSpacing"/>
        <w:ind w:firstLine="720"/>
        <w:rPr>
          <w:sz w:val="24"/>
          <w:szCs w:val="24"/>
        </w:rPr>
      </w:pPr>
      <w:r w:rsidRPr="00305859">
        <w:rPr>
          <w:sz w:val="24"/>
          <w:szCs w:val="24"/>
        </w:rPr>
        <w:t>The conservation programs that helped restore game species populations are largely funded by the Federal Aid in Wildlife Restoration Act of 1937,</w:t>
      </w:r>
      <w:r w:rsidRPr="00305859">
        <w:rPr>
          <w:color w:val="FF0000"/>
          <w:sz w:val="24"/>
          <w:szCs w:val="24"/>
        </w:rPr>
        <w:t xml:space="preserve"> </w:t>
      </w:r>
      <w:r w:rsidRPr="00305859">
        <w:rPr>
          <w:sz w:val="24"/>
          <w:szCs w:val="24"/>
        </w:rPr>
        <w:t>commonly known as the Pittman-Robertson Act, which derives its revenues from sportsmen.</w:t>
      </w:r>
      <w:r>
        <w:rPr>
          <w:sz w:val="24"/>
          <w:szCs w:val="24"/>
        </w:rPr>
        <w:t xml:space="preserve"> </w:t>
      </w:r>
      <w:r w:rsidR="00FE3421" w:rsidRPr="00305859">
        <w:rPr>
          <w:sz w:val="24"/>
          <w:szCs w:val="24"/>
        </w:rPr>
        <w:t>In 1950, following the model set by Pittman-Robertson, Congress passed the Federal Aid in Sport Fish Restoration Act, commonly known as the Dingell-Johnson Act. Revenue generated from excise taxes on fishing equipment sales goes toward restoring and improving America’s fishery resources.</w:t>
      </w:r>
    </w:p>
    <w:p w:rsidR="00FE3421" w:rsidRDefault="00FE3421" w:rsidP="00305859">
      <w:pPr>
        <w:pStyle w:val="NoSpacing"/>
        <w:ind w:firstLine="720"/>
        <w:rPr>
          <w:sz w:val="24"/>
          <w:szCs w:val="24"/>
        </w:rPr>
      </w:pPr>
    </w:p>
    <w:p w:rsidR="00FE3421" w:rsidRPr="00305859" w:rsidRDefault="00FE3421" w:rsidP="00FE3421">
      <w:pPr>
        <w:pStyle w:val="NoSpacing"/>
        <w:ind w:firstLine="720"/>
        <w:rPr>
          <w:sz w:val="24"/>
          <w:szCs w:val="24"/>
        </w:rPr>
      </w:pPr>
      <w:r>
        <w:rPr>
          <w:sz w:val="24"/>
          <w:szCs w:val="24"/>
        </w:rPr>
        <w:t xml:space="preserve">Pittman-Robertson </w:t>
      </w:r>
      <w:r w:rsidRPr="00305859">
        <w:rPr>
          <w:sz w:val="24"/>
          <w:szCs w:val="24"/>
        </w:rPr>
        <w:t>imposes an 11% excise tax on long guns, ammunition and archery equipment, and a 10% excise tax on handguns. Revenue is deposited in a special trust fund under the management of the U.S. Fish and Wildlife Service to be used for state wildlife restoration projects. One-half of the tax revenue collected on handguns and archery equipment may be used by state fish and wildlife agencies for hunter safety training and range development.</w:t>
      </w:r>
      <w:r>
        <w:rPr>
          <w:sz w:val="24"/>
          <w:szCs w:val="24"/>
        </w:rPr>
        <w:t xml:space="preserve"> Over the years</w:t>
      </w:r>
      <w:r w:rsidR="00305859" w:rsidRPr="00305859">
        <w:rPr>
          <w:sz w:val="24"/>
          <w:szCs w:val="24"/>
        </w:rPr>
        <w:t>, the Act has collected nearly $7.2 billion to fund conservation efforts across the country.</w:t>
      </w:r>
      <w:r w:rsidR="00C75AF9">
        <w:rPr>
          <w:rStyle w:val="EndnoteReference"/>
          <w:sz w:val="24"/>
          <w:szCs w:val="24"/>
        </w:rPr>
        <w:endnoteReference w:id="1"/>
      </w:r>
      <w:r w:rsidR="00305859" w:rsidRPr="00305859">
        <w:rPr>
          <w:sz w:val="24"/>
          <w:szCs w:val="24"/>
        </w:rPr>
        <w:t xml:space="preserve"> </w:t>
      </w:r>
    </w:p>
    <w:p w:rsidR="00305859" w:rsidRPr="00305859" w:rsidRDefault="00305859" w:rsidP="00305859">
      <w:pPr>
        <w:pStyle w:val="NoSpacing"/>
        <w:ind w:firstLine="720"/>
        <w:rPr>
          <w:sz w:val="24"/>
          <w:szCs w:val="24"/>
        </w:rPr>
      </w:pPr>
    </w:p>
    <w:p w:rsidR="00305859" w:rsidRPr="00C75AF9" w:rsidRDefault="00305859" w:rsidP="00C75AF9">
      <w:pPr>
        <w:pStyle w:val="NoSpacing"/>
        <w:ind w:firstLine="720"/>
        <w:rPr>
          <w:sz w:val="24"/>
          <w:szCs w:val="24"/>
        </w:rPr>
      </w:pPr>
      <w:r w:rsidRPr="00305859">
        <w:rPr>
          <w:sz w:val="24"/>
          <w:szCs w:val="24"/>
        </w:rPr>
        <w:t>Sportsmen are the primary supporters of efforts to protect game species. Conservation efforts fueled by Pittman-Robertson funds, such as the acquisition and improvement of wildlife habitat, wildlife species introduction, wildlife research, public access programs, and hunter education programs, along with state wildlife agencies that carefully regulate hunting, have helped restore and now conserve America’s abundant wildlife population.</w:t>
      </w:r>
    </w:p>
    <w:sectPr w:rsidR="00305859" w:rsidRPr="00C75AF9" w:rsidSect="006125D5">
      <w:endnotePr>
        <w:numFmt w:val="decimal"/>
      </w:endnotePr>
      <w:pgSz w:w="12240" w:h="15840"/>
      <w:pgMar w:top="576"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AEC" w:rsidRDefault="00726AEC" w:rsidP="00C75AF9">
      <w:pPr>
        <w:spacing w:after="0"/>
      </w:pPr>
      <w:r>
        <w:separator/>
      </w:r>
    </w:p>
  </w:endnote>
  <w:endnote w:type="continuationSeparator" w:id="0">
    <w:p w:rsidR="00726AEC" w:rsidRDefault="00726AEC" w:rsidP="00C75AF9">
      <w:pPr>
        <w:spacing w:after="0"/>
      </w:pPr>
      <w:r>
        <w:continuationSeparator/>
      </w:r>
    </w:p>
  </w:endnote>
  <w:endnote w:id="1">
    <w:p w:rsidR="00C75AF9" w:rsidRDefault="00C75AF9">
      <w:pPr>
        <w:pStyle w:val="EndnoteText"/>
      </w:pPr>
      <w:r>
        <w:rPr>
          <w:rStyle w:val="EndnoteReference"/>
        </w:rPr>
        <w:endnoteRef/>
      </w:r>
      <w:r>
        <w:t xml:space="preserve"> S</w:t>
      </w:r>
      <w:r w:rsidRPr="00FE3421">
        <w:t xml:space="preserve">ee the FY2016 </w:t>
      </w:r>
      <w:r>
        <w:t xml:space="preserve">fund </w:t>
      </w:r>
      <w:r w:rsidRPr="00FE3421">
        <w:t xml:space="preserve">apportionment </w:t>
      </w:r>
      <w:r>
        <w:t xml:space="preserve">at </w:t>
      </w:r>
      <w:hyperlink r:id="rId1" w:history="1">
        <w:r w:rsidRPr="00FE3421">
          <w:rPr>
            <w:rStyle w:val="Hyperlink"/>
          </w:rPr>
          <w:t>http://wsfrprograms.fws.gov/Subpages/GrantPrograms/WR/WRFinalApportionment2016.pdf</w:t>
        </w:r>
      </w:hyperlink>
      <w:r w:rsidRPr="00FE3421">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AEC" w:rsidRDefault="00726AEC" w:rsidP="00C75AF9">
      <w:pPr>
        <w:spacing w:after="0"/>
      </w:pPr>
      <w:r>
        <w:separator/>
      </w:r>
    </w:p>
  </w:footnote>
  <w:footnote w:type="continuationSeparator" w:id="0">
    <w:p w:rsidR="00726AEC" w:rsidRDefault="00726AEC" w:rsidP="00C75AF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7E5A"/>
    <w:multiLevelType w:val="hybridMultilevel"/>
    <w:tmpl w:val="3BE2A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DD3B8D"/>
    <w:multiLevelType w:val="hybridMultilevel"/>
    <w:tmpl w:val="D67AB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E3B7B"/>
    <w:multiLevelType w:val="hybridMultilevel"/>
    <w:tmpl w:val="EC10A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42CBF"/>
    <w:multiLevelType w:val="hybridMultilevel"/>
    <w:tmpl w:val="97C259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D15A9C"/>
    <w:multiLevelType w:val="hybridMultilevel"/>
    <w:tmpl w:val="AF16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603FC"/>
    <w:multiLevelType w:val="hybridMultilevel"/>
    <w:tmpl w:val="183E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B6DF9"/>
    <w:multiLevelType w:val="hybridMultilevel"/>
    <w:tmpl w:val="E3AE0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762758"/>
    <w:multiLevelType w:val="hybridMultilevel"/>
    <w:tmpl w:val="2734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22C23"/>
    <w:multiLevelType w:val="hybridMultilevel"/>
    <w:tmpl w:val="096A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07B6A"/>
    <w:multiLevelType w:val="hybridMultilevel"/>
    <w:tmpl w:val="A4D05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8D903A9"/>
    <w:multiLevelType w:val="hybridMultilevel"/>
    <w:tmpl w:val="54E4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C62F72"/>
    <w:multiLevelType w:val="hybridMultilevel"/>
    <w:tmpl w:val="E360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25E42"/>
    <w:multiLevelType w:val="hybridMultilevel"/>
    <w:tmpl w:val="D94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B079D"/>
    <w:multiLevelType w:val="hybridMultilevel"/>
    <w:tmpl w:val="A678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C52D7"/>
    <w:multiLevelType w:val="hybridMultilevel"/>
    <w:tmpl w:val="81C6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46A47"/>
    <w:multiLevelType w:val="hybridMultilevel"/>
    <w:tmpl w:val="F79E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E3097"/>
    <w:multiLevelType w:val="hybridMultilevel"/>
    <w:tmpl w:val="A28442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6"/>
  </w:num>
  <w:num w:numId="4">
    <w:abstractNumId w:val="16"/>
  </w:num>
  <w:num w:numId="5">
    <w:abstractNumId w:val="3"/>
  </w:num>
  <w:num w:numId="6">
    <w:abstractNumId w:val="10"/>
  </w:num>
  <w:num w:numId="7">
    <w:abstractNumId w:val="0"/>
  </w:num>
  <w:num w:numId="8">
    <w:abstractNumId w:val="9"/>
  </w:num>
  <w:num w:numId="9">
    <w:abstractNumId w:val="12"/>
  </w:num>
  <w:num w:numId="10">
    <w:abstractNumId w:val="4"/>
  </w:num>
  <w:num w:numId="11">
    <w:abstractNumId w:val="14"/>
  </w:num>
  <w:num w:numId="12">
    <w:abstractNumId w:val="11"/>
  </w:num>
  <w:num w:numId="13">
    <w:abstractNumId w:val="15"/>
  </w:num>
  <w:num w:numId="14">
    <w:abstractNumId w:val="13"/>
  </w:num>
  <w:num w:numId="15">
    <w:abstractNumId w:val="5"/>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23"/>
    <w:rsid w:val="00002623"/>
    <w:rsid w:val="00006B5E"/>
    <w:rsid w:val="00017648"/>
    <w:rsid w:val="000539DE"/>
    <w:rsid w:val="000755F8"/>
    <w:rsid w:val="000769EB"/>
    <w:rsid w:val="00077689"/>
    <w:rsid w:val="000826EC"/>
    <w:rsid w:val="00083962"/>
    <w:rsid w:val="00085A82"/>
    <w:rsid w:val="00115757"/>
    <w:rsid w:val="001205D7"/>
    <w:rsid w:val="00122DEC"/>
    <w:rsid w:val="00134AEF"/>
    <w:rsid w:val="00136550"/>
    <w:rsid w:val="00141F3F"/>
    <w:rsid w:val="00190957"/>
    <w:rsid w:val="001951BE"/>
    <w:rsid w:val="001A25CE"/>
    <w:rsid w:val="001D09FB"/>
    <w:rsid w:val="001F6C1B"/>
    <w:rsid w:val="0022034B"/>
    <w:rsid w:val="002339FD"/>
    <w:rsid w:val="00261C8A"/>
    <w:rsid w:val="00264B6F"/>
    <w:rsid w:val="00303220"/>
    <w:rsid w:val="003044CF"/>
    <w:rsid w:val="00305859"/>
    <w:rsid w:val="00315C94"/>
    <w:rsid w:val="00332F39"/>
    <w:rsid w:val="00344E10"/>
    <w:rsid w:val="00364090"/>
    <w:rsid w:val="00380693"/>
    <w:rsid w:val="00384525"/>
    <w:rsid w:val="003A3BB2"/>
    <w:rsid w:val="003D29B9"/>
    <w:rsid w:val="003E7449"/>
    <w:rsid w:val="00407313"/>
    <w:rsid w:val="0043441D"/>
    <w:rsid w:val="00451CA7"/>
    <w:rsid w:val="00473949"/>
    <w:rsid w:val="004752AA"/>
    <w:rsid w:val="0047742C"/>
    <w:rsid w:val="00482AB0"/>
    <w:rsid w:val="004D559A"/>
    <w:rsid w:val="00514868"/>
    <w:rsid w:val="00546163"/>
    <w:rsid w:val="00547279"/>
    <w:rsid w:val="00556E53"/>
    <w:rsid w:val="00564BBA"/>
    <w:rsid w:val="00564E1E"/>
    <w:rsid w:val="00575666"/>
    <w:rsid w:val="005D1455"/>
    <w:rsid w:val="005E2A2C"/>
    <w:rsid w:val="005F3050"/>
    <w:rsid w:val="00604BAD"/>
    <w:rsid w:val="00605552"/>
    <w:rsid w:val="006125D5"/>
    <w:rsid w:val="00642C99"/>
    <w:rsid w:val="00650013"/>
    <w:rsid w:val="00652DC1"/>
    <w:rsid w:val="00694088"/>
    <w:rsid w:val="006C4A46"/>
    <w:rsid w:val="006C7B32"/>
    <w:rsid w:val="006D0894"/>
    <w:rsid w:val="00700BB5"/>
    <w:rsid w:val="00702CA8"/>
    <w:rsid w:val="00706AE4"/>
    <w:rsid w:val="00726AEC"/>
    <w:rsid w:val="00733CC3"/>
    <w:rsid w:val="00735248"/>
    <w:rsid w:val="00737A4A"/>
    <w:rsid w:val="007E609A"/>
    <w:rsid w:val="00830D49"/>
    <w:rsid w:val="00830D78"/>
    <w:rsid w:val="008543E1"/>
    <w:rsid w:val="008608D6"/>
    <w:rsid w:val="00867CA5"/>
    <w:rsid w:val="00880638"/>
    <w:rsid w:val="00884C1C"/>
    <w:rsid w:val="00886385"/>
    <w:rsid w:val="0089016B"/>
    <w:rsid w:val="008903AD"/>
    <w:rsid w:val="008B73A1"/>
    <w:rsid w:val="008C3A6A"/>
    <w:rsid w:val="008F6E8F"/>
    <w:rsid w:val="009042D1"/>
    <w:rsid w:val="00917C20"/>
    <w:rsid w:val="009214DD"/>
    <w:rsid w:val="009327AE"/>
    <w:rsid w:val="00947395"/>
    <w:rsid w:val="0097280A"/>
    <w:rsid w:val="00972AFB"/>
    <w:rsid w:val="00980AB2"/>
    <w:rsid w:val="009B4FF0"/>
    <w:rsid w:val="00A17658"/>
    <w:rsid w:val="00A70AD7"/>
    <w:rsid w:val="00A8057D"/>
    <w:rsid w:val="00A810E8"/>
    <w:rsid w:val="00A828B2"/>
    <w:rsid w:val="00A90D0F"/>
    <w:rsid w:val="00A9135B"/>
    <w:rsid w:val="00A92B3C"/>
    <w:rsid w:val="00AA2C45"/>
    <w:rsid w:val="00AA300E"/>
    <w:rsid w:val="00AB02E8"/>
    <w:rsid w:val="00AB1181"/>
    <w:rsid w:val="00AC186A"/>
    <w:rsid w:val="00AE34C4"/>
    <w:rsid w:val="00B00ABF"/>
    <w:rsid w:val="00B30C65"/>
    <w:rsid w:val="00B32F79"/>
    <w:rsid w:val="00B41689"/>
    <w:rsid w:val="00B5688D"/>
    <w:rsid w:val="00B65660"/>
    <w:rsid w:val="00B66542"/>
    <w:rsid w:val="00B777E3"/>
    <w:rsid w:val="00B90978"/>
    <w:rsid w:val="00B93EAD"/>
    <w:rsid w:val="00B95A14"/>
    <w:rsid w:val="00BA4E7D"/>
    <w:rsid w:val="00BB0B99"/>
    <w:rsid w:val="00BD4A6F"/>
    <w:rsid w:val="00BF2837"/>
    <w:rsid w:val="00C122FF"/>
    <w:rsid w:val="00C1306C"/>
    <w:rsid w:val="00C14F45"/>
    <w:rsid w:val="00C37E19"/>
    <w:rsid w:val="00C56211"/>
    <w:rsid w:val="00C75AF9"/>
    <w:rsid w:val="00C81734"/>
    <w:rsid w:val="00C912E9"/>
    <w:rsid w:val="00C9766E"/>
    <w:rsid w:val="00CE0FF1"/>
    <w:rsid w:val="00D03B68"/>
    <w:rsid w:val="00D07836"/>
    <w:rsid w:val="00D31AE1"/>
    <w:rsid w:val="00D351BD"/>
    <w:rsid w:val="00D54FC5"/>
    <w:rsid w:val="00DA10C7"/>
    <w:rsid w:val="00DA5DDA"/>
    <w:rsid w:val="00DF169C"/>
    <w:rsid w:val="00E015E1"/>
    <w:rsid w:val="00E0555E"/>
    <w:rsid w:val="00E516AA"/>
    <w:rsid w:val="00E66C5A"/>
    <w:rsid w:val="00E84B71"/>
    <w:rsid w:val="00EB0A30"/>
    <w:rsid w:val="00EC6EAA"/>
    <w:rsid w:val="00EE3A64"/>
    <w:rsid w:val="00EF2C96"/>
    <w:rsid w:val="00F12D88"/>
    <w:rsid w:val="00F23A5C"/>
    <w:rsid w:val="00F36311"/>
    <w:rsid w:val="00F44042"/>
    <w:rsid w:val="00F4595B"/>
    <w:rsid w:val="00F567D2"/>
    <w:rsid w:val="00F73F68"/>
    <w:rsid w:val="00FA35F3"/>
    <w:rsid w:val="00FE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89EFC4-0991-4338-AC66-8A44740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Times New Roman" w:hAnsi="Times New Roman"/>
      <w:sz w:val="26"/>
    </w:rPr>
  </w:style>
  <w:style w:type="paragraph" w:styleId="Heading1">
    <w:name w:val="heading 1"/>
    <w:basedOn w:val="Normal"/>
    <w:next w:val="Normal"/>
    <w:qFormat/>
    <w:pPr>
      <w:keepNext/>
      <w:jc w:val="center"/>
      <w:outlineLvl w:val="0"/>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02623"/>
    <w:pPr>
      <w:spacing w:after="0"/>
    </w:pPr>
    <w:rPr>
      <w:rFonts w:ascii="Courier New" w:hAnsi="Courier New" w:cs="Courier New"/>
      <w:sz w:val="20"/>
    </w:rPr>
  </w:style>
  <w:style w:type="paragraph" w:styleId="BodyText">
    <w:name w:val="Body Text"/>
    <w:basedOn w:val="Normal"/>
  </w:style>
  <w:style w:type="paragraph" w:styleId="BodyTextFirstIndent">
    <w:name w:val="Body Text First Indent"/>
    <w:basedOn w:val="BodyText"/>
    <w:pPr>
      <w:ind w:firstLine="360"/>
    </w:pPr>
  </w:style>
  <w:style w:type="character" w:styleId="Hyperlink">
    <w:name w:val="Hyperlink"/>
    <w:basedOn w:val="DefaultParagraphFont"/>
    <w:rsid w:val="00002623"/>
    <w:rPr>
      <w:color w:val="0000FF"/>
      <w:u w:val="single"/>
    </w:rPr>
  </w:style>
  <w:style w:type="character" w:styleId="FollowedHyperlink">
    <w:name w:val="FollowedHyperlink"/>
    <w:basedOn w:val="DefaultParagraphFont"/>
    <w:rsid w:val="00C1306C"/>
    <w:rPr>
      <w:color w:val="800080"/>
      <w:u w:val="single"/>
    </w:rPr>
  </w:style>
  <w:style w:type="paragraph" w:styleId="NoSpacing">
    <w:name w:val="No Spacing"/>
    <w:uiPriority w:val="1"/>
    <w:qFormat/>
    <w:rsid w:val="00D07836"/>
    <w:rPr>
      <w:rFonts w:ascii="Times New Roman" w:hAnsi="Times New Roman"/>
      <w:sz w:val="26"/>
    </w:rPr>
  </w:style>
  <w:style w:type="paragraph" w:styleId="NormalWeb">
    <w:name w:val="Normal (Web)"/>
    <w:basedOn w:val="Normal"/>
    <w:uiPriority w:val="99"/>
    <w:unhideWhenUsed/>
    <w:rsid w:val="00BB0B99"/>
    <w:pPr>
      <w:spacing w:before="100" w:beforeAutospacing="1" w:after="100" w:afterAutospacing="1"/>
    </w:pPr>
    <w:rPr>
      <w:sz w:val="24"/>
      <w:szCs w:val="24"/>
    </w:rPr>
  </w:style>
  <w:style w:type="character" w:styleId="Strong">
    <w:name w:val="Strong"/>
    <w:basedOn w:val="DefaultParagraphFont"/>
    <w:uiPriority w:val="22"/>
    <w:qFormat/>
    <w:rsid w:val="00BB0B99"/>
    <w:rPr>
      <w:b/>
      <w:bCs/>
    </w:rPr>
  </w:style>
  <w:style w:type="character" w:customStyle="1" w:styleId="apple-converted-space">
    <w:name w:val="apple-converted-space"/>
    <w:basedOn w:val="DefaultParagraphFont"/>
    <w:rsid w:val="00BB0B99"/>
  </w:style>
  <w:style w:type="paragraph" w:styleId="ListParagraph">
    <w:name w:val="List Paragraph"/>
    <w:basedOn w:val="Normal"/>
    <w:uiPriority w:val="34"/>
    <w:qFormat/>
    <w:rsid w:val="008F6E8F"/>
    <w:pPr>
      <w:spacing w:after="160" w:line="259" w:lineRule="auto"/>
      <w:ind w:left="720"/>
      <w:contextualSpacing/>
    </w:pPr>
    <w:rPr>
      <w:rFonts w:eastAsiaTheme="minorHAnsi"/>
      <w:sz w:val="24"/>
      <w:szCs w:val="24"/>
    </w:rPr>
  </w:style>
  <w:style w:type="character" w:styleId="FootnoteReference">
    <w:name w:val="footnote reference"/>
    <w:basedOn w:val="DefaultParagraphFont"/>
    <w:uiPriority w:val="99"/>
    <w:unhideWhenUsed/>
    <w:rsid w:val="008F6E8F"/>
    <w:rPr>
      <w:vertAlign w:val="superscript"/>
    </w:rPr>
  </w:style>
  <w:style w:type="paragraph" w:styleId="EndnoteText">
    <w:name w:val="endnote text"/>
    <w:basedOn w:val="Normal"/>
    <w:link w:val="EndnoteTextChar"/>
    <w:rsid w:val="00C75AF9"/>
    <w:pPr>
      <w:spacing w:after="0"/>
    </w:pPr>
    <w:rPr>
      <w:sz w:val="20"/>
    </w:rPr>
  </w:style>
  <w:style w:type="character" w:customStyle="1" w:styleId="EndnoteTextChar">
    <w:name w:val="Endnote Text Char"/>
    <w:basedOn w:val="DefaultParagraphFont"/>
    <w:link w:val="EndnoteText"/>
    <w:rsid w:val="00C75AF9"/>
    <w:rPr>
      <w:rFonts w:ascii="Times New Roman" w:hAnsi="Times New Roman"/>
    </w:rPr>
  </w:style>
  <w:style w:type="character" w:styleId="EndnoteReference">
    <w:name w:val="endnote reference"/>
    <w:basedOn w:val="DefaultParagraphFont"/>
    <w:rsid w:val="00C75A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83189">
      <w:bodyDiv w:val="1"/>
      <w:marLeft w:val="0"/>
      <w:marRight w:val="0"/>
      <w:marTop w:val="0"/>
      <w:marBottom w:val="0"/>
      <w:divBdr>
        <w:top w:val="none" w:sz="0" w:space="0" w:color="auto"/>
        <w:left w:val="none" w:sz="0" w:space="0" w:color="auto"/>
        <w:bottom w:val="none" w:sz="0" w:space="0" w:color="auto"/>
        <w:right w:val="none" w:sz="0" w:space="0" w:color="auto"/>
      </w:divBdr>
      <w:divsChild>
        <w:div w:id="64593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sfrprograms.fws.gov/Subpages/GrantPrograms/WR/WRFinalApportionment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verst.NRA\Local%20Settings\Temporary%20Internet%20Files\OLK73\Fact%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Fact Sheet Template</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National Rifle Association</Company>
  <LinksUpToDate>false</LinksUpToDate>
  <CharactersWithSpaces>1994</CharactersWithSpaces>
  <SharedDoc>false</SharedDoc>
  <HLinks>
    <vt:vector size="48" baseType="variant">
      <vt:variant>
        <vt:i4>1441834</vt:i4>
      </vt:variant>
      <vt:variant>
        <vt:i4>21</vt:i4>
      </vt:variant>
      <vt:variant>
        <vt:i4>0</vt:i4>
      </vt:variant>
      <vt:variant>
        <vt:i4>5</vt:i4>
      </vt:variant>
      <vt:variant>
        <vt:lpwstr>http://hsgac.senate.gov/public/index.cfm?FuseAction=Hearings.Hearing&amp;Hearing_ID=a6061b56-3636-4fac-8446-b3c0dd65d02d</vt:lpwstr>
      </vt:variant>
      <vt:variant>
        <vt:lpwstr/>
      </vt:variant>
      <vt:variant>
        <vt:i4>2818054</vt:i4>
      </vt:variant>
      <vt:variant>
        <vt:i4>18</vt:i4>
      </vt:variant>
      <vt:variant>
        <vt:i4>0</vt:i4>
      </vt:variant>
      <vt:variant>
        <vt:i4>5</vt:i4>
      </vt:variant>
      <vt:variant>
        <vt:lpwstr>http://www4.law.cornell.edu/uscode/html/uscode18/usc_sec_18_00000922----000-.html</vt:lpwstr>
      </vt:variant>
      <vt:variant>
        <vt:lpwstr/>
      </vt:variant>
      <vt:variant>
        <vt:i4>5374045</vt:i4>
      </vt:variant>
      <vt:variant>
        <vt:i4>15</vt:i4>
      </vt:variant>
      <vt:variant>
        <vt:i4>0</vt:i4>
      </vt:variant>
      <vt:variant>
        <vt:i4>5</vt:i4>
      </vt:variant>
      <vt:variant>
        <vt:lpwstr>http://www.gao.gov/new.items/d10703t.pdf</vt:lpwstr>
      </vt:variant>
      <vt:variant>
        <vt:lpwstr/>
      </vt:variant>
      <vt:variant>
        <vt:i4>2031733</vt:i4>
      </vt:variant>
      <vt:variant>
        <vt:i4>12</vt:i4>
      </vt:variant>
      <vt:variant>
        <vt:i4>0</vt:i4>
      </vt:variant>
      <vt:variant>
        <vt:i4>5</vt:i4>
      </vt:variant>
      <vt:variant>
        <vt:lpwstr>http://www.fbi.gov/terrorinfo/counterrorism/tsc_quotes.htm</vt:lpwstr>
      </vt:variant>
      <vt:variant>
        <vt:lpwstr/>
      </vt:variant>
      <vt:variant>
        <vt:i4>2818157</vt:i4>
      </vt:variant>
      <vt:variant>
        <vt:i4>9</vt:i4>
      </vt:variant>
      <vt:variant>
        <vt:i4>0</vt:i4>
      </vt:variant>
      <vt:variant>
        <vt:i4>5</vt:i4>
      </vt:variant>
      <vt:variant>
        <vt:lpwstr>http://www.fas.org/irp/eprint/rightwing.pdf</vt:lpwstr>
      </vt:variant>
      <vt:variant>
        <vt:lpwstr/>
      </vt:variant>
      <vt:variant>
        <vt:i4>3407977</vt:i4>
      </vt:variant>
      <vt:variant>
        <vt:i4>6</vt:i4>
      </vt:variant>
      <vt:variant>
        <vt:i4>0</vt:i4>
      </vt:variant>
      <vt:variant>
        <vt:i4>5</vt:i4>
      </vt:variant>
      <vt:variant>
        <vt:lpwstr>http://www.justice.gov/oig/reports/FBI/a0925/final.pdf</vt:lpwstr>
      </vt:variant>
      <vt:variant>
        <vt:lpwstr/>
      </vt:variant>
      <vt:variant>
        <vt:i4>5439502</vt:i4>
      </vt:variant>
      <vt:variant>
        <vt:i4>3</vt:i4>
      </vt:variant>
      <vt:variant>
        <vt:i4>0</vt:i4>
      </vt:variant>
      <vt:variant>
        <vt:i4>5</vt:i4>
      </vt:variant>
      <vt:variant>
        <vt:lpwstr>http://www.fbi.gov/terrorinfo/counterrorism/faqs.htm</vt:lpwstr>
      </vt:variant>
      <vt:variant>
        <vt:lpwstr/>
      </vt:variant>
      <vt:variant>
        <vt:i4>2228327</vt:i4>
      </vt:variant>
      <vt:variant>
        <vt:i4>0</vt:i4>
      </vt:variant>
      <vt:variant>
        <vt:i4>0</vt:i4>
      </vt:variant>
      <vt:variant>
        <vt:i4>5</vt:i4>
      </vt:variant>
      <vt:variant>
        <vt:lpwstr>http://www4.law.cornell.edu/uscode/18/2331.html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Overstreet</dc:creator>
  <cp:keywords/>
  <cp:lastModifiedBy>Overstreet, Mark</cp:lastModifiedBy>
  <cp:revision>7</cp:revision>
  <cp:lastPrinted>2010-05-19T15:28:00Z</cp:lastPrinted>
  <dcterms:created xsi:type="dcterms:W3CDTF">2016-04-01T15:41:00Z</dcterms:created>
  <dcterms:modified xsi:type="dcterms:W3CDTF">2016-08-08T13:18:00Z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