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8C71A8" w:rsidRDefault="00EB0383" w:rsidP="00EB0383">
      <w:pPr>
        <w:pStyle w:val="Title"/>
        <w:spacing w:before="0" w:line="230" w:lineRule="auto"/>
        <w:rPr>
          <w:color w:val="040404"/>
          <w:spacing w:val="-2"/>
        </w:rPr>
      </w:pPr>
      <w:r>
        <w:rPr>
          <w:noProof/>
          <w:color w:val="040506"/>
        </w:rPr>
        <mc:AlternateContent>
          <mc:Choice Requires="wps">
            <w:drawing>
              <wp:anchor distT="0" distB="0" distL="114300" distR="114300" simplePos="0" relativeHeight="251668480" behindDoc="0" locked="0" layoutInCell="1" allowOverlap="1">
                <wp:simplePos x="0" y="0"/>
                <wp:positionH relativeFrom="column">
                  <wp:posOffset>4634951</wp:posOffset>
                </wp:positionH>
                <wp:positionV relativeFrom="paragraph">
                  <wp:posOffset>121408</wp:posOffset>
                </wp:positionV>
                <wp:extent cx="2531659" cy="975815"/>
                <wp:effectExtent l="0" t="0" r="0" b="0"/>
                <wp:wrapNone/>
                <wp:docPr id="5" name="Text Box 5"/>
                <wp:cNvGraphicFramePr/>
                <a:graphic xmlns:a="http://schemas.openxmlformats.org/drawingml/2006/main">
                  <a:graphicData uri="http://schemas.microsoft.com/office/word/2010/wordprocessingShape">
                    <wps:wsp>
                      <wps:cNvSpPr txBox="1"/>
                      <wps:spPr>
                        <a:xfrm>
                          <a:off x="0" y="0"/>
                          <a:ext cx="2531659" cy="975815"/>
                        </a:xfrm>
                        <a:prstGeom prst="rect">
                          <a:avLst/>
                        </a:prstGeom>
                        <a:noFill/>
                        <a:ln w="6350">
                          <a:noFill/>
                        </a:ln>
                      </wps:spPr>
                      <wps:txbx>
                        <w:txbxContent>
                          <w:p w:rsidR="00EB0383" w:rsidRPr="00EB0383" w:rsidRDefault="00EB0383">
                            <w:pPr>
                              <w:rPr>
                                <w:b/>
                                <w:sz w:val="32"/>
                                <w:szCs w:val="32"/>
                              </w:rPr>
                            </w:pPr>
                            <w:r w:rsidRPr="00EB0383">
                              <w:rPr>
                                <w:b/>
                                <w:sz w:val="32"/>
                                <w:szCs w:val="32"/>
                              </w:rPr>
                              <w:t xml:space="preserve">NRA </w:t>
                            </w:r>
                            <w:r w:rsidR="008065E0">
                              <w:rPr>
                                <w:b/>
                                <w:sz w:val="32"/>
                                <w:szCs w:val="32"/>
                              </w:rPr>
                              <w:t>NM</w:t>
                            </w:r>
                            <w:r w:rsidRPr="00EB0383">
                              <w:rPr>
                                <w:b/>
                                <w:sz w:val="32"/>
                                <w:szCs w:val="32"/>
                              </w:rPr>
                              <w:t xml:space="preserve"> State Director</w:t>
                            </w:r>
                          </w:p>
                          <w:p w:rsidR="00EB0383" w:rsidRPr="00EB0383" w:rsidRDefault="00EB0383">
                            <w:pPr>
                              <w:rPr>
                                <w:b/>
                                <w:sz w:val="32"/>
                                <w:szCs w:val="32"/>
                              </w:rPr>
                            </w:pPr>
                            <w:r w:rsidRPr="00EB0383">
                              <w:rPr>
                                <w:b/>
                                <w:sz w:val="32"/>
                                <w:szCs w:val="32"/>
                              </w:rPr>
                              <w:t>Tara Mica</w:t>
                            </w:r>
                          </w:p>
                          <w:p w:rsidR="00EB0383" w:rsidRPr="00EB0383" w:rsidRDefault="00C65B59">
                            <w:pPr>
                              <w:rPr>
                                <w:sz w:val="30"/>
                                <w:szCs w:val="30"/>
                              </w:rPr>
                            </w:pPr>
                            <w:hyperlink r:id="rId7" w:history="1">
                              <w:r w:rsidR="00EB0383" w:rsidRPr="00EB0383">
                                <w:rPr>
                                  <w:rStyle w:val="Hyperlink"/>
                                  <w:color w:val="auto"/>
                                  <w:sz w:val="30"/>
                                  <w:szCs w:val="30"/>
                                  <w:u w:val="none"/>
                                </w:rPr>
                                <w:t>TMica@NRAHQ.org</w:t>
                              </w:r>
                            </w:hyperlink>
                          </w:p>
                          <w:p w:rsidR="00EB0383" w:rsidRPr="00EB0383" w:rsidRDefault="00EB0383">
                            <w:pPr>
                              <w:rPr>
                                <w:sz w:val="30"/>
                                <w:szCs w:val="30"/>
                              </w:rPr>
                            </w:pPr>
                            <w:r w:rsidRPr="00EB0383">
                              <w:rPr>
                                <w:sz w:val="30"/>
                                <w:szCs w:val="30"/>
                              </w:rPr>
                              <w:t>Cell (512) 636-9314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64.95pt;margin-top:9.55pt;width:199.35pt;height:76.8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" filled="f" stroked="f" strokeweight=".5pt">
                <v:textbox>
                  <w:txbxContent>
                    <w:p w:rsidR="00EB0383" w:rsidRPr="00EB0383" w:rsidRDefault="00EB0383">
                      <w:pPr>
                        <w:rPr>
                          <w:b/>
                          <w:sz w:val="32"/>
                          <w:szCs w:val="32"/>
                        </w:rPr>
                      </w:pPr>
                      <w:r w:rsidRPr="00EB0383">
                        <w:rPr>
                          <w:b/>
                          <w:sz w:val="32"/>
                          <w:szCs w:val="32"/>
                        </w:rPr>
                        <w:t xml:space="preserve">NRA </w:t>
                      </w:r>
                      <w:r w:rsidR="008065E0">
                        <w:rPr>
                          <w:b/>
                          <w:sz w:val="32"/>
                          <w:szCs w:val="32"/>
                        </w:rPr>
                        <w:t>NM</w:t>
                      </w:r>
                      <w:r w:rsidRPr="00EB0383">
                        <w:rPr>
                          <w:b/>
                          <w:sz w:val="32"/>
                          <w:szCs w:val="32"/>
                        </w:rPr>
                        <w:t xml:space="preserve"> State Director</w:t>
                      </w:r>
                    </w:p>
                    <w:p w:rsidR="00EB0383" w:rsidRPr="00EB0383" w:rsidRDefault="00EB0383">
                      <w:pPr>
                        <w:rPr>
                          <w:b/>
                          <w:sz w:val="32"/>
                          <w:szCs w:val="32"/>
                        </w:rPr>
                      </w:pPr>
                      <w:r w:rsidRPr="00EB0383">
                        <w:rPr>
                          <w:b/>
                          <w:sz w:val="32"/>
                          <w:szCs w:val="32"/>
                        </w:rPr>
                        <w:t>Tara Mica</w:t>
                      </w:r>
                    </w:p>
                    <w:p w:rsidR="00EB0383" w:rsidRPr="00EB0383" w:rsidRDefault="00C42CF4">
                      <w:pPr>
                        <w:rPr>
                          <w:sz w:val="30"/>
                          <w:szCs w:val="30"/>
                        </w:rPr>
                      </w:pPr>
                      <w:hyperlink r:id="rId8" w:history="1">
                        <w:r w:rsidR="00EB0383" w:rsidRPr="00EB0383">
                          <w:rPr>
                            <w:rStyle w:val="Hyperlink"/>
                            <w:color w:val="auto"/>
                            <w:sz w:val="30"/>
                            <w:szCs w:val="30"/>
                            <w:u w:val="none"/>
                          </w:rPr>
                          <w:t>TMica@NRAHQ.org</w:t>
                        </w:r>
                      </w:hyperlink>
                    </w:p>
                    <w:p w:rsidR="00EB0383" w:rsidRPr="00EB0383" w:rsidRDefault="00EB0383">
                      <w:pPr>
                        <w:rPr>
                          <w:sz w:val="30"/>
                          <w:szCs w:val="30"/>
                        </w:rPr>
                      </w:pPr>
                      <w:r w:rsidRPr="00EB0383">
                        <w:rPr>
                          <w:sz w:val="30"/>
                          <w:szCs w:val="30"/>
                        </w:rPr>
                        <w:t>Cell (512) 636-9314</w:t>
                      </w:r>
                    </w:p>
                  </w:txbxContent>
                </v:textbox>
              </v:shape>
            </w:pict>
          </mc:Fallback>
        </mc:AlternateContent>
      </w:r>
      <w:r w:rsidR="00343D6B">
        <w:rPr>
          <w:noProof/>
        </w:rPr>
        <w:drawing>
          <wp:anchor distT="0" distB="0" distL="0" distR="0" simplePos="0" relativeHeight="15725568" behindDoc="0" locked="0" layoutInCell="1" allowOverlap="1">
            <wp:simplePos x="0" y="0"/>
            <wp:positionH relativeFrom="page">
              <wp:posOffset>195071</wp:posOffset>
            </wp:positionH>
            <wp:positionV relativeFrom="paragraph">
              <wp:posOffset>65182</wp:posOffset>
            </wp:positionV>
            <wp:extent cx="4291584" cy="108508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4291584" cy="1085087"/>
                    </a:xfrm>
                    <a:prstGeom prst="rect">
                      <a:avLst/>
                    </a:prstGeom>
                  </pic:spPr>
                </pic:pic>
              </a:graphicData>
            </a:graphic>
          </wp:anchor>
        </w:drawing>
      </w:r>
    </w:p>
    <w:p w:rsidR="00EB0383" w:rsidRDefault="00EB0383" w:rsidP="00EB0383">
      <w:pPr>
        <w:pStyle w:val="Title"/>
        <w:spacing w:before="0" w:line="230" w:lineRule="auto"/>
        <w:rPr>
          <w:rFonts w:ascii="Verdana"/>
        </w:rPr>
      </w:pPr>
    </w:p>
    <w:p w:rsidR="00EB0383" w:rsidRDefault="00EB0383" w:rsidP="00EB0383">
      <w:pPr>
        <w:pStyle w:val="Title"/>
        <w:spacing w:before="0" w:line="230" w:lineRule="auto"/>
        <w:rPr>
          <w:rFonts w:ascii="Verdana"/>
        </w:rPr>
      </w:pPr>
    </w:p>
    <w:p w:rsidR="008C71A8" w:rsidRDefault="008C71A8">
      <w:pPr>
        <w:pStyle w:val="BodyText"/>
        <w:rPr>
          <w:rFonts w:ascii="Verdana"/>
          <w:sz w:val="20"/>
        </w:rPr>
      </w:pPr>
    </w:p>
    <w:p w:rsidR="008C71A8" w:rsidRDefault="008C71A8">
      <w:pPr>
        <w:pStyle w:val="BodyText"/>
        <w:spacing w:before="9"/>
        <w:rPr>
          <w:rFonts w:ascii="Verdana"/>
          <w:sz w:val="26"/>
        </w:rPr>
      </w:pPr>
    </w:p>
    <w:p w:rsidR="008065E0" w:rsidRDefault="008065E0" w:rsidP="00740E3A">
      <w:pPr>
        <w:rPr>
          <w:sz w:val="24"/>
          <w:szCs w:val="24"/>
        </w:rPr>
      </w:pPr>
      <w:r>
        <w:rPr>
          <w:noProof/>
        </w:rPr>
        <mc:AlternateContent>
          <mc:Choice Requires="wps">
            <w:drawing>
              <wp:anchor distT="0" distB="0" distL="114300" distR="114300" simplePos="0" relativeHeight="251674624" behindDoc="0" locked="0" layoutInCell="1" allowOverlap="1" wp14:anchorId="2F16FA3D" wp14:editId="1F8ABFE4">
                <wp:simplePos x="0" y="0"/>
                <wp:positionH relativeFrom="margin">
                  <wp:posOffset>0</wp:posOffset>
                </wp:positionH>
                <wp:positionV relativeFrom="paragraph">
                  <wp:posOffset>175260</wp:posOffset>
                </wp:positionV>
                <wp:extent cx="7353933" cy="338472"/>
                <wp:effectExtent l="0" t="0" r="0" b="4445"/>
                <wp:wrapSquare wrapText="bothSides"/>
                <wp:docPr id="4" name="Rectangle 4"/>
                <wp:cNvGraphicFramePr/>
                <a:graphic xmlns:a="http://schemas.openxmlformats.org/drawingml/2006/main">
                  <a:graphicData uri="http://schemas.microsoft.com/office/word/2010/wordprocessingShape">
                    <wps:wsp>
                      <wps:cNvSpPr/>
                      <wps:spPr>
                        <a:xfrm>
                          <a:off x="0" y="0"/>
                          <a:ext cx="7353933" cy="338472"/>
                        </a:xfrm>
                        <a:prstGeom prst="rect">
                          <a:avLst/>
                        </a:prstGeom>
                        <a:solidFill>
                          <a:srgbClr val="C00000"/>
                        </a:solidFill>
                        <a:ln w="25400" cap="flat" cmpd="sng" algn="ctr">
                          <a:noFill/>
                          <a:prstDash val="solid"/>
                        </a:ln>
                        <a:effectLst/>
                      </wps:spPr>
                      <wps:txbx>
                        <w:txbxContent>
                          <w:p w:rsidR="008065E0" w:rsidRDefault="008065E0" w:rsidP="008065E0">
                            <w:pPr>
                              <w:jc w:val="center"/>
                              <w:rPr>
                                <w:rFonts w:ascii="Tahoma" w:eastAsiaTheme="majorEastAsia" w:hAnsi="Tahoma" w:cs="Tahoma"/>
                                <w:b/>
                                <w:color w:val="FFFFFF" w:themeColor="background1"/>
                              </w:rPr>
                            </w:pPr>
                            <w:r>
                              <w:rPr>
                                <w:rFonts w:ascii="Tahoma" w:eastAsiaTheme="majorEastAsia" w:hAnsi="Tahoma" w:cs="Tahoma"/>
                                <w:b/>
                                <w:color w:val="FFFFFF" w:themeColor="background1"/>
                              </w:rPr>
                              <w:t>Mandatory Gun Storage Proposals Protect Criminals &amp; Leave Law-Abiding Citizens Vulnerable</w:t>
                            </w:r>
                          </w:p>
                          <w:p w:rsidR="008065E0" w:rsidRDefault="008065E0" w:rsidP="008065E0">
                            <w:pPr>
                              <w:jc w:val="center"/>
                              <w:rPr>
                                <w:rFonts w:ascii="Tahoma" w:eastAsiaTheme="majorEastAsia" w:hAnsi="Tahoma" w:cs="Tahoma"/>
                                <w:b/>
                                <w:color w:val="FFFFFF" w:themeColor="background1"/>
                              </w:rPr>
                            </w:pPr>
                          </w:p>
                          <w:p w:rsidR="008065E0" w:rsidRPr="004F014E" w:rsidRDefault="008065E0" w:rsidP="008065E0">
                            <w:pPr>
                              <w:jc w:val="center"/>
                              <w:rPr>
                                <w:rFonts w:ascii="Tahoma" w:eastAsiaTheme="majorEastAsia" w:hAnsi="Tahoma" w:cs="Tahoma"/>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16FA3D" id="Rectangle 4" o:spid="_x0000_s1027" style="position:absolute;margin-left:0;margin-top:13.8pt;width:579.05pt;height:26.6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" fillcolor="#c00000" stroked="f" strokeweight="2pt">
                <v:textbox>
                  <w:txbxContent>
                    <w:p w:rsidR="008065E0" w:rsidRDefault="008065E0" w:rsidP="008065E0">
                      <w:pPr>
                        <w:jc w:val="center"/>
                        <w:rPr>
                          <w:rFonts w:ascii="Tahoma" w:eastAsiaTheme="majorEastAsia" w:hAnsi="Tahoma" w:cs="Tahoma"/>
                          <w:b/>
                          <w:color w:val="FFFFFF" w:themeColor="background1"/>
                        </w:rPr>
                      </w:pPr>
                      <w:r>
                        <w:rPr>
                          <w:rFonts w:ascii="Tahoma" w:eastAsiaTheme="majorEastAsia" w:hAnsi="Tahoma" w:cs="Tahoma"/>
                          <w:b/>
                          <w:color w:val="FFFFFF" w:themeColor="background1"/>
                        </w:rPr>
                        <w:t>Mandatory Gun Storage Proposals Protect Criminals &amp; Leave Law-Abiding Citizens Vulnerable</w:t>
                      </w:r>
                    </w:p>
                    <w:p w:rsidR="008065E0" w:rsidRDefault="008065E0" w:rsidP="008065E0">
                      <w:pPr>
                        <w:jc w:val="center"/>
                        <w:rPr>
                          <w:rFonts w:ascii="Tahoma" w:eastAsiaTheme="majorEastAsia" w:hAnsi="Tahoma" w:cs="Tahoma"/>
                          <w:b/>
                          <w:color w:val="FFFFFF" w:themeColor="background1"/>
                        </w:rPr>
                      </w:pPr>
                    </w:p>
                    <w:p w:rsidR="008065E0" w:rsidRPr="004F014E" w:rsidRDefault="008065E0" w:rsidP="008065E0">
                      <w:pPr>
                        <w:jc w:val="center"/>
                        <w:rPr>
                          <w:rFonts w:ascii="Tahoma" w:eastAsiaTheme="majorEastAsia" w:hAnsi="Tahoma" w:cs="Tahoma"/>
                          <w:b/>
                          <w:color w:val="FFFFFF" w:themeColor="background1"/>
                        </w:rPr>
                      </w:pPr>
                    </w:p>
                  </w:txbxContent>
                </v:textbox>
                <w10:wrap type="square" anchorx="margin"/>
              </v:rect>
            </w:pict>
          </mc:Fallback>
        </mc:AlternateContent>
      </w:r>
    </w:p>
    <w:p w:rsidR="008065E0" w:rsidRDefault="008065E0" w:rsidP="00740E3A">
      <w:pPr>
        <w:rPr>
          <w:sz w:val="24"/>
          <w:szCs w:val="24"/>
        </w:rPr>
      </w:pPr>
    </w:p>
    <w:p w:rsidR="008065E0" w:rsidRDefault="008065E0" w:rsidP="008065E0">
      <w:pPr>
        <w:rPr>
          <w:rFonts w:cstheme="minorHAnsi"/>
        </w:rPr>
      </w:pPr>
      <w:r w:rsidRPr="008065E0">
        <w:rPr>
          <w:rFonts w:cstheme="minorHAnsi"/>
          <w:color w:val="212121"/>
        </w:rPr>
        <w:t xml:space="preserve">New Mexico already has </w:t>
      </w:r>
      <w:r w:rsidR="00CA3498">
        <w:rPr>
          <w:rFonts w:cstheme="minorHAnsi"/>
          <w:color w:val="212121"/>
        </w:rPr>
        <w:t xml:space="preserve">a </w:t>
      </w:r>
      <w:r w:rsidRPr="008065E0">
        <w:rPr>
          <w:rFonts w:cstheme="minorHAnsi"/>
          <w:color w:val="212121"/>
        </w:rPr>
        <w:t>law on the books to hold adults accountable for endangering a child.</w:t>
      </w:r>
      <w:r>
        <w:rPr>
          <w:rFonts w:cstheme="minorHAnsi"/>
          <w:color w:val="212121"/>
        </w:rPr>
        <w:t xml:space="preserve"> </w:t>
      </w:r>
      <w:r>
        <w:rPr>
          <w:rFonts w:cstheme="minorHAnsi"/>
          <w:i/>
          <w:iCs/>
          <w:color w:val="212121"/>
        </w:rPr>
        <w:t xml:space="preserve">(NMSA Section 30-6-1, New Mexico’s Child Abuse/Abandonment statute).  </w:t>
      </w:r>
      <w:r>
        <w:rPr>
          <w:rFonts w:cstheme="minorHAnsi"/>
          <w:color w:val="212121"/>
        </w:rPr>
        <w:t xml:space="preserve">Under the law, it is a felony for a responsible person to knowingly, intentionally, or negligently, and without justifiable cause, cause or permit a child to be placed in a situation that may endanger the child’s life or health. Prosecutors have the tools, in appropriate cases, to hold parents, guardians or other custodians of children accountable when a child gains unauthorized access to </w:t>
      </w:r>
      <w:r w:rsidR="00CA3498">
        <w:rPr>
          <w:rFonts w:cstheme="minorHAnsi"/>
          <w:color w:val="212121"/>
        </w:rPr>
        <w:t xml:space="preserve">any dangerous or illegal substance or weapon and harms </w:t>
      </w:r>
      <w:r>
        <w:rPr>
          <w:rFonts w:cstheme="minorHAnsi"/>
          <w:color w:val="212121"/>
        </w:rPr>
        <w:t>himself or someone else</w:t>
      </w:r>
      <w:r w:rsidR="00CA3498">
        <w:rPr>
          <w:rFonts w:cstheme="minorHAnsi"/>
          <w:color w:val="212121"/>
        </w:rPr>
        <w:t>.</w:t>
      </w:r>
    </w:p>
    <w:p w:rsidR="008065E0" w:rsidRDefault="008065E0" w:rsidP="008065E0">
      <w:pPr>
        <w:rPr>
          <w:rFonts w:ascii="Calibri" w:hAnsi="Calibri" w:cs="Calibri"/>
          <w:b/>
          <w:color w:val="212121"/>
        </w:rPr>
      </w:pPr>
    </w:p>
    <w:p w:rsidR="008065E0" w:rsidRPr="008065E0" w:rsidRDefault="00CA3498" w:rsidP="008065E0">
      <w:pPr>
        <w:rPr>
          <w:color w:val="212121"/>
        </w:rPr>
      </w:pPr>
      <w:r>
        <w:rPr>
          <w:color w:val="212121"/>
        </w:rPr>
        <w:t xml:space="preserve">Mandatory gun storage </w:t>
      </w:r>
      <w:r w:rsidR="008065E0" w:rsidRPr="008065E0">
        <w:rPr>
          <w:color w:val="212121"/>
        </w:rPr>
        <w:t xml:space="preserve">laws are also ineffective.  According to a study by John R. Lott, Jr., PhD, and John Whitley, </w:t>
      </w:r>
      <w:r w:rsidR="008065E0" w:rsidRPr="008065E0">
        <w:rPr>
          <w:color w:val="5B9BD5"/>
        </w:rPr>
        <w:t>"</w:t>
      </w:r>
      <w:hyperlink r:id="rId10" w:history="1">
        <w:r w:rsidR="008065E0" w:rsidRPr="008065E0">
          <w:rPr>
            <w:rStyle w:val="Hyperlink"/>
          </w:rPr>
          <w:t>Safe Storage Gun Laws: Accidental Deaths, Suicides, and Crime,"</w:t>
        </w:r>
      </w:hyperlink>
      <w:r w:rsidR="008065E0" w:rsidRPr="008065E0">
        <w:rPr>
          <w:color w:val="FF0000"/>
        </w:rPr>
        <w:t xml:space="preserve"> </w:t>
      </w:r>
      <w:r w:rsidR="008065E0" w:rsidRPr="008065E0">
        <w:t xml:space="preserve">- </w:t>
      </w:r>
      <w:r w:rsidR="008065E0" w:rsidRPr="008065E0">
        <w:rPr>
          <w:color w:val="212121"/>
        </w:rPr>
        <w:t>there is no evidence that CAP laws reduce either juvenile accidental firearm deaths or suicides.  Instead, these laws appear to make it harder for law-abiding gun owners to protect themselves.  Out of ten states studied that had CAP laws for at least four years, relative violent crime stopped falling when these statutes were adopted and then ended up even higher at the end the four-year period.  The only consistent impact was that these laws were significantly related to higher rates of rape, robbery, and burglary.</w:t>
      </w:r>
    </w:p>
    <w:p w:rsidR="008065E0" w:rsidRPr="008065E0" w:rsidRDefault="008065E0" w:rsidP="008065E0"/>
    <w:p w:rsidR="008065E0" w:rsidRDefault="00CA3498" w:rsidP="008065E0">
      <w:pPr>
        <w:rPr>
          <w:rFonts w:asciiTheme="minorHAnsi" w:hAnsiTheme="minorHAnsi" w:cstheme="minorBidi"/>
        </w:rPr>
      </w:pPr>
      <w:r>
        <w:rPr>
          <w:color w:val="212121"/>
        </w:rPr>
        <w:t>Lastly, this type of legislation will h</w:t>
      </w:r>
      <w:r w:rsidR="008065E0" w:rsidRPr="008065E0">
        <w:rPr>
          <w:color w:val="212121"/>
        </w:rPr>
        <w:t xml:space="preserve">ave a chilling effect on youth participation in firearm-related activities and </w:t>
      </w:r>
      <w:r>
        <w:rPr>
          <w:color w:val="212121"/>
        </w:rPr>
        <w:t>it</w:t>
      </w:r>
      <w:r w:rsidR="008065E0" w:rsidRPr="008065E0">
        <w:rPr>
          <w:color w:val="212121"/>
        </w:rPr>
        <w:t xml:space="preserve"> may be unconstitutional.</w:t>
      </w:r>
      <w:r w:rsidR="008065E0" w:rsidRPr="008065E0">
        <w:rPr>
          <w:b/>
          <w:color w:val="212121"/>
        </w:rPr>
        <w:t xml:space="preserve">  </w:t>
      </w:r>
      <w:r w:rsidR="008065E0" w:rsidRPr="008065E0">
        <w:rPr>
          <w:color w:val="212121"/>
        </w:rPr>
        <w:t>Language in these laws set potential legal traps for responsible parents whose children participate in legitimate recreational, training and competitive activities.</w:t>
      </w:r>
      <w:r w:rsidR="008065E0">
        <w:rPr>
          <w:rFonts w:cstheme="minorHAnsi"/>
          <w:color w:val="212121"/>
        </w:rPr>
        <w:t xml:space="preserve">  Additionally, the United States Supreme Court struck down as invalid laws that require “firearms in the home be rendered and kept inoperable at all times.” </w:t>
      </w:r>
      <w:r w:rsidR="008065E0">
        <w:rPr>
          <w:rFonts w:cstheme="minorHAnsi"/>
          <w:i/>
          <w:iCs/>
          <w:color w:val="212121"/>
        </w:rPr>
        <w:t>(District of Columbia v. Heller</w:t>
      </w:r>
      <w:r>
        <w:rPr>
          <w:rFonts w:cstheme="minorHAnsi"/>
          <w:i/>
          <w:iCs/>
          <w:color w:val="212121"/>
        </w:rPr>
        <w:t>, 2008.</w:t>
      </w:r>
      <w:r w:rsidR="008065E0">
        <w:rPr>
          <w:rFonts w:cstheme="minorHAnsi"/>
          <w:i/>
          <w:iCs/>
          <w:color w:val="212121"/>
        </w:rPr>
        <w:t xml:space="preserve">) </w:t>
      </w:r>
      <w:r w:rsidR="008065E0">
        <w:rPr>
          <w:rFonts w:cstheme="minorHAnsi"/>
          <w:color w:val="212121"/>
        </w:rPr>
        <w:t xml:space="preserve">The Court affirmed that “the need for defense of self, family, and property is most acute” in the home and the Second Amendment “elevates above all other interests” the right “to use arms in defense of hearth and home.” </w:t>
      </w:r>
      <w:r w:rsidR="008065E0">
        <w:rPr>
          <w:rFonts w:cstheme="minorHAnsi"/>
          <w:i/>
          <w:iCs/>
          <w:color w:val="212121"/>
        </w:rPr>
        <w:t>(Heller)</w:t>
      </w:r>
      <w:r w:rsidR="008065E0">
        <w:rPr>
          <w:rFonts w:cstheme="minorHAnsi"/>
          <w:color w:val="212121"/>
        </w:rPr>
        <w:t xml:space="preserve"> Clearly, a firearm meant for home defense must be accessible and operable. </w:t>
      </w:r>
    </w:p>
    <w:p w:rsidR="007763C4" w:rsidRDefault="007763C4" w:rsidP="00740E3A">
      <w:pPr>
        <w:rPr>
          <w:sz w:val="24"/>
          <w:szCs w:val="24"/>
        </w:rPr>
      </w:pPr>
      <w:r>
        <w:rPr>
          <w:noProof/>
        </w:rPr>
        <mc:AlternateContent>
          <mc:Choice Requires="wps">
            <w:drawing>
              <wp:anchor distT="0" distB="0" distL="114300" distR="114300" simplePos="0" relativeHeight="251672576" behindDoc="0" locked="0" layoutInCell="1" allowOverlap="1" wp14:anchorId="56567353" wp14:editId="4D930DB2">
                <wp:simplePos x="0" y="0"/>
                <wp:positionH relativeFrom="margin">
                  <wp:align>left</wp:align>
                </wp:positionH>
                <wp:positionV relativeFrom="paragraph">
                  <wp:posOffset>186121</wp:posOffset>
                </wp:positionV>
                <wp:extent cx="7353933" cy="338472"/>
                <wp:effectExtent l="0" t="0" r="0" b="4445"/>
                <wp:wrapSquare wrapText="bothSides"/>
                <wp:docPr id="8" name="Rectangle 8"/>
                <wp:cNvGraphicFramePr/>
                <a:graphic xmlns:a="http://schemas.openxmlformats.org/drawingml/2006/main">
                  <a:graphicData uri="http://schemas.microsoft.com/office/word/2010/wordprocessingShape">
                    <wps:wsp>
                      <wps:cNvSpPr/>
                      <wps:spPr>
                        <a:xfrm>
                          <a:off x="0" y="0"/>
                          <a:ext cx="7353933" cy="338472"/>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F3559" w:rsidRDefault="00740E3A" w:rsidP="00B26FDE">
                            <w:pPr>
                              <w:jc w:val="center"/>
                              <w:rPr>
                                <w:rFonts w:ascii="Tahoma" w:eastAsiaTheme="majorEastAsia" w:hAnsi="Tahoma" w:cs="Tahoma"/>
                                <w:b/>
                                <w:color w:val="FFFFFF" w:themeColor="background1"/>
                              </w:rPr>
                            </w:pPr>
                            <w:r w:rsidRPr="00740E3A">
                              <w:rPr>
                                <w:rFonts w:ascii="Tahoma" w:eastAsiaTheme="majorEastAsia" w:hAnsi="Tahoma" w:cs="Tahoma"/>
                                <w:b/>
                                <w:color w:val="FFFFFF" w:themeColor="background1"/>
                              </w:rPr>
                              <w:t>Unconstitutional Restrictions on Firearms Sales to Young Adults Won’t Reduce Crime</w:t>
                            </w:r>
                          </w:p>
                          <w:p w:rsidR="008065E0" w:rsidRDefault="008065E0" w:rsidP="00B26FDE">
                            <w:pPr>
                              <w:jc w:val="center"/>
                              <w:rPr>
                                <w:rFonts w:ascii="Tahoma" w:eastAsiaTheme="majorEastAsia" w:hAnsi="Tahoma" w:cs="Tahoma"/>
                                <w:b/>
                                <w:color w:val="FFFFFF" w:themeColor="background1"/>
                              </w:rPr>
                            </w:pPr>
                          </w:p>
                          <w:p w:rsidR="008065E0" w:rsidRPr="004F014E" w:rsidRDefault="008065E0" w:rsidP="00B26FDE">
                            <w:pPr>
                              <w:jc w:val="center"/>
                              <w:rPr>
                                <w:rFonts w:ascii="Tahoma" w:eastAsiaTheme="majorEastAsia" w:hAnsi="Tahoma" w:cs="Tahoma"/>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567353" id="Rectangle 8" o:spid="_x0000_s1028" style="position:absolute;margin-left:0;margin-top:14.65pt;width:579.05pt;height:26.65pt;z-index:2516725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" fillcolor="#c00000" stroked="f" strokeweight="2pt">
                <v:textbox>
                  <w:txbxContent>
                    <w:p w:rsidR="005F3559" w:rsidRDefault="00740E3A" w:rsidP="00B26FDE">
                      <w:pPr>
                        <w:jc w:val="center"/>
                        <w:rPr>
                          <w:rFonts w:ascii="Tahoma" w:eastAsiaTheme="majorEastAsia" w:hAnsi="Tahoma" w:cs="Tahoma"/>
                          <w:b/>
                          <w:color w:val="FFFFFF" w:themeColor="background1"/>
                        </w:rPr>
                      </w:pPr>
                      <w:r w:rsidRPr="00740E3A">
                        <w:rPr>
                          <w:rFonts w:ascii="Tahoma" w:eastAsiaTheme="majorEastAsia" w:hAnsi="Tahoma" w:cs="Tahoma"/>
                          <w:b/>
                          <w:color w:val="FFFFFF" w:themeColor="background1"/>
                        </w:rPr>
                        <w:t>Unconstitutional Restrictions on Firearms Sales to Young Adults Won’t Reduce Crime</w:t>
                      </w:r>
                    </w:p>
                    <w:p w:rsidR="008065E0" w:rsidRDefault="008065E0" w:rsidP="00B26FDE">
                      <w:pPr>
                        <w:jc w:val="center"/>
                        <w:rPr>
                          <w:rFonts w:ascii="Tahoma" w:eastAsiaTheme="majorEastAsia" w:hAnsi="Tahoma" w:cs="Tahoma"/>
                          <w:b/>
                          <w:color w:val="FFFFFF" w:themeColor="background1"/>
                        </w:rPr>
                      </w:pPr>
                    </w:p>
                    <w:p w:rsidR="008065E0" w:rsidRPr="004F014E" w:rsidRDefault="008065E0" w:rsidP="00B26FDE">
                      <w:pPr>
                        <w:jc w:val="center"/>
                        <w:rPr>
                          <w:rFonts w:ascii="Tahoma" w:eastAsiaTheme="majorEastAsia" w:hAnsi="Tahoma" w:cs="Tahoma"/>
                          <w:b/>
                          <w:color w:val="FFFFFF" w:themeColor="background1"/>
                        </w:rPr>
                      </w:pPr>
                    </w:p>
                  </w:txbxContent>
                </v:textbox>
                <w10:wrap type="square" anchorx="margin"/>
              </v:rect>
            </w:pict>
          </mc:Fallback>
        </mc:AlternateContent>
      </w:r>
    </w:p>
    <w:p w:rsidR="007763C4" w:rsidRDefault="007763C4" w:rsidP="00740E3A">
      <w:pPr>
        <w:rPr>
          <w:sz w:val="24"/>
          <w:szCs w:val="24"/>
        </w:rPr>
      </w:pPr>
    </w:p>
    <w:p w:rsidR="000956FD" w:rsidRDefault="007763C4" w:rsidP="007763C4">
      <w:pPr>
        <w:pStyle w:val="BodyText"/>
        <w:ind w:left="166"/>
        <w:rPr>
          <w:sz w:val="22"/>
          <w:szCs w:val="22"/>
        </w:rPr>
      </w:pPr>
      <w:r w:rsidRPr="0063061E">
        <w:rPr>
          <w:sz w:val="22"/>
          <w:szCs w:val="22"/>
        </w:rPr>
        <w:t xml:space="preserve">At age 18, citizens are eligible to vote, serve in the military (83% of United States Marine Corps enlistees are 20 or younger) and be drafted. An 18-to-20-year-old may be tried as an adult for crimes in state and federal courts. Young adults may serve in law enforcement, may generally serve on a jury, enter into contracts, sue and be sued, get married and own property. The landmark SCOTUS </w:t>
      </w:r>
      <w:r w:rsidRPr="00CA3498">
        <w:rPr>
          <w:i/>
          <w:sz w:val="22"/>
          <w:szCs w:val="22"/>
        </w:rPr>
        <w:t>District of Columbia v. Heller (2008)</w:t>
      </w:r>
      <w:r w:rsidRPr="0063061E">
        <w:rPr>
          <w:sz w:val="22"/>
          <w:szCs w:val="22"/>
        </w:rPr>
        <w:t xml:space="preserve"> decision did not suggest that young adults are excluded from “the people” protected by the Second Amendment. As the </w:t>
      </w:r>
      <w:r w:rsidRPr="00CA3498">
        <w:rPr>
          <w:i/>
          <w:sz w:val="22"/>
          <w:szCs w:val="22"/>
        </w:rPr>
        <w:t>Heller</w:t>
      </w:r>
      <w:r w:rsidRPr="0063061E">
        <w:rPr>
          <w:sz w:val="22"/>
          <w:szCs w:val="22"/>
        </w:rPr>
        <w:t xml:space="preserve"> decision made clear, “the people, from whom the militia must be taken, shall have the right to keep and bear arms.” </w:t>
      </w:r>
      <w:r w:rsidR="000956FD" w:rsidRPr="000956FD">
        <w:rPr>
          <w:sz w:val="22"/>
          <w:szCs w:val="22"/>
        </w:rPr>
        <w:t>At the time of the Founding, 18-to-20-year-olds were permitted—indeed required—to be part of the militia and to arm themselves. The age of majority remains 18 today for militia.</w:t>
      </w:r>
    </w:p>
    <w:p w:rsidR="000956FD" w:rsidRDefault="000956FD" w:rsidP="007763C4">
      <w:pPr>
        <w:pStyle w:val="BodyText"/>
        <w:ind w:left="166"/>
        <w:rPr>
          <w:sz w:val="22"/>
          <w:szCs w:val="22"/>
        </w:rPr>
      </w:pPr>
    </w:p>
    <w:p w:rsidR="000956FD" w:rsidRDefault="000956FD" w:rsidP="007763C4">
      <w:pPr>
        <w:pStyle w:val="BodyText"/>
        <w:ind w:left="166"/>
        <w:rPr>
          <w:sz w:val="22"/>
          <w:szCs w:val="22"/>
        </w:rPr>
      </w:pPr>
      <w:r>
        <w:rPr>
          <w:sz w:val="22"/>
          <w:szCs w:val="22"/>
        </w:rPr>
        <w:t xml:space="preserve">In </w:t>
      </w:r>
      <w:r w:rsidRPr="00CA3498">
        <w:rPr>
          <w:i/>
          <w:sz w:val="22"/>
          <w:szCs w:val="22"/>
        </w:rPr>
        <w:t>NYSRPA v. Bruen (2022),</w:t>
      </w:r>
      <w:r>
        <w:rPr>
          <w:sz w:val="22"/>
          <w:szCs w:val="22"/>
        </w:rPr>
        <w:t xml:space="preserve"> SCOTUS made clear that in order for a firearm regulation to</w:t>
      </w:r>
      <w:r w:rsidR="001C5B3F">
        <w:rPr>
          <w:sz w:val="22"/>
          <w:szCs w:val="22"/>
        </w:rPr>
        <w:t xml:space="preserve"> </w:t>
      </w:r>
      <w:r w:rsidR="005E6319">
        <w:rPr>
          <w:sz w:val="22"/>
          <w:szCs w:val="22"/>
        </w:rPr>
        <w:t>pass muster</w:t>
      </w:r>
      <w:r>
        <w:rPr>
          <w:sz w:val="22"/>
          <w:szCs w:val="22"/>
        </w:rPr>
        <w:t xml:space="preserve"> under the Second Amendment the government must “</w:t>
      </w:r>
      <w:r w:rsidRPr="000956FD">
        <w:rPr>
          <w:sz w:val="22"/>
          <w:szCs w:val="22"/>
        </w:rPr>
        <w:t>identify a well-established and representative historical analogue</w:t>
      </w:r>
      <w:r>
        <w:rPr>
          <w:sz w:val="22"/>
          <w:szCs w:val="22"/>
        </w:rPr>
        <w:t>.”</w:t>
      </w:r>
      <w:r w:rsidR="00E55703">
        <w:rPr>
          <w:sz w:val="22"/>
          <w:szCs w:val="22"/>
        </w:rPr>
        <w:t xml:space="preserve"> Regarding prohibitions on young adults purchasing firearms, this cannot be done.</w:t>
      </w:r>
      <w:r>
        <w:rPr>
          <w:sz w:val="22"/>
          <w:szCs w:val="22"/>
        </w:rPr>
        <w:t xml:space="preserve"> </w:t>
      </w:r>
      <w:r w:rsidR="00E55703">
        <w:rPr>
          <w:sz w:val="22"/>
          <w:szCs w:val="22"/>
        </w:rPr>
        <w:t>There were no laws that restricted 18-20 year-olds from purchasing firearms at the time of the American founding.</w:t>
      </w:r>
    </w:p>
    <w:p w:rsidR="00DB6D56" w:rsidRDefault="00DB6D56" w:rsidP="007763C4">
      <w:pPr>
        <w:pStyle w:val="BodyText"/>
        <w:ind w:left="166"/>
        <w:rPr>
          <w:sz w:val="22"/>
          <w:szCs w:val="22"/>
        </w:rPr>
      </w:pPr>
    </w:p>
    <w:p w:rsidR="00DB6D56" w:rsidRDefault="00DB6D56" w:rsidP="00DB6D56">
      <w:pPr>
        <w:pStyle w:val="BodyText"/>
        <w:ind w:left="166"/>
        <w:rPr>
          <w:sz w:val="22"/>
          <w:szCs w:val="22"/>
        </w:rPr>
      </w:pPr>
      <w:r>
        <w:rPr>
          <w:sz w:val="22"/>
          <w:szCs w:val="22"/>
        </w:rPr>
        <w:t>Following the Bruen decision, a federal court in Texas struck down the state’s prohibition on 18-20-year-olds carrying a handgun outside the home for self-defense. The decision pointed out that “</w:t>
      </w:r>
      <w:r w:rsidRPr="00DB6D56">
        <w:rPr>
          <w:sz w:val="22"/>
          <w:szCs w:val="22"/>
        </w:rPr>
        <w:t xml:space="preserve">Heller said that </w:t>
      </w:r>
      <w:r>
        <w:rPr>
          <w:sz w:val="22"/>
          <w:szCs w:val="22"/>
        </w:rPr>
        <w:t>‘t</w:t>
      </w:r>
      <w:r w:rsidRPr="00DB6D56">
        <w:rPr>
          <w:sz w:val="22"/>
          <w:szCs w:val="22"/>
        </w:rPr>
        <w:t>he people</w:t>
      </w:r>
      <w:r>
        <w:rPr>
          <w:sz w:val="22"/>
          <w:szCs w:val="22"/>
        </w:rPr>
        <w:t>’</w:t>
      </w:r>
      <w:r w:rsidRPr="00DB6D56">
        <w:rPr>
          <w:sz w:val="22"/>
          <w:szCs w:val="22"/>
        </w:rPr>
        <w:t xml:space="preserve"> is a</w:t>
      </w:r>
      <w:r>
        <w:rPr>
          <w:sz w:val="22"/>
          <w:szCs w:val="22"/>
        </w:rPr>
        <w:t xml:space="preserve"> t</w:t>
      </w:r>
      <w:r w:rsidRPr="00DB6D56">
        <w:rPr>
          <w:sz w:val="22"/>
          <w:szCs w:val="22"/>
        </w:rPr>
        <w:t xml:space="preserve">erm of art that refers to </w:t>
      </w:r>
      <w:r>
        <w:rPr>
          <w:sz w:val="22"/>
          <w:szCs w:val="22"/>
        </w:rPr>
        <w:t>‘</w:t>
      </w:r>
      <w:r w:rsidRPr="00DB6D56">
        <w:rPr>
          <w:sz w:val="22"/>
          <w:szCs w:val="22"/>
        </w:rPr>
        <w:t>all members of the political community, not</w:t>
      </w:r>
      <w:r>
        <w:rPr>
          <w:sz w:val="22"/>
          <w:szCs w:val="22"/>
        </w:rPr>
        <w:t xml:space="preserve"> </w:t>
      </w:r>
      <w:r w:rsidRPr="00DB6D56">
        <w:rPr>
          <w:sz w:val="22"/>
          <w:szCs w:val="22"/>
        </w:rPr>
        <w:t>an unspecified subset.</w:t>
      </w:r>
      <w:r>
        <w:rPr>
          <w:sz w:val="22"/>
          <w:szCs w:val="22"/>
        </w:rPr>
        <w:t>’” Moreover, noting Bruen, the decision explained, “</w:t>
      </w:r>
      <w:r w:rsidRPr="00DB6D56">
        <w:rPr>
          <w:sz w:val="22"/>
          <w:szCs w:val="22"/>
        </w:rPr>
        <w:t>Bruen said it was undisputed that “ordinary, law-abiding, adult citizens</w:t>
      </w:r>
      <w:r>
        <w:rPr>
          <w:sz w:val="22"/>
          <w:szCs w:val="22"/>
        </w:rPr>
        <w:t xml:space="preserve"> </w:t>
      </w:r>
      <w:r w:rsidRPr="00DB6D56">
        <w:rPr>
          <w:sz w:val="22"/>
          <w:szCs w:val="22"/>
        </w:rPr>
        <w:t>are part of ‘the people’ whom the Second Amendment protects.”</w:t>
      </w:r>
      <w:r>
        <w:rPr>
          <w:sz w:val="22"/>
          <w:szCs w:val="22"/>
        </w:rPr>
        <w:t>” Given the precedent in these two cases, the federal court stated the following,</w:t>
      </w:r>
    </w:p>
    <w:p w:rsidR="00DB6D56" w:rsidRDefault="00DB6D56" w:rsidP="00DB6D56">
      <w:pPr>
        <w:pStyle w:val="BodyText"/>
        <w:ind w:left="166"/>
        <w:rPr>
          <w:sz w:val="22"/>
          <w:szCs w:val="22"/>
        </w:rPr>
      </w:pPr>
    </w:p>
    <w:p w:rsidR="00DB6D56" w:rsidRPr="00DB6D56" w:rsidRDefault="00DB6D56" w:rsidP="00DB6D56">
      <w:pPr>
        <w:pStyle w:val="BodyText"/>
        <w:ind w:left="720" w:firstLine="1"/>
        <w:rPr>
          <w:i/>
          <w:sz w:val="22"/>
          <w:szCs w:val="22"/>
        </w:rPr>
      </w:pPr>
      <w:r w:rsidRPr="00DB6D56">
        <w:rPr>
          <w:i/>
          <w:sz w:val="22"/>
          <w:szCs w:val="22"/>
        </w:rPr>
        <w:t>With this guidance, the Court asks a simple question: are law</w:t>
      </w:r>
      <w:r>
        <w:rPr>
          <w:i/>
          <w:sz w:val="22"/>
          <w:szCs w:val="22"/>
        </w:rPr>
        <w:t>-</w:t>
      </w:r>
      <w:r w:rsidRPr="00DB6D56">
        <w:rPr>
          <w:i/>
          <w:sz w:val="22"/>
          <w:szCs w:val="22"/>
        </w:rPr>
        <w:t>abiding 18-to-20-year-olds properly considered members of the political community and a part of the national community? The answer is yes. And based on that answer, the Court concludes that law-abiding 18-to</w:t>
      </w:r>
      <w:r w:rsidR="00974B6B">
        <w:rPr>
          <w:i/>
          <w:sz w:val="22"/>
          <w:szCs w:val="22"/>
        </w:rPr>
        <w:t>-</w:t>
      </w:r>
      <w:r w:rsidRPr="00DB6D56">
        <w:rPr>
          <w:i/>
          <w:sz w:val="22"/>
          <w:szCs w:val="22"/>
        </w:rPr>
        <w:t>20-year-olds are a part of “the people” referenced in the Second Amendment.</w:t>
      </w:r>
    </w:p>
    <w:p w:rsidR="007763C4" w:rsidRPr="0063061E" w:rsidRDefault="007763C4" w:rsidP="00E55703">
      <w:pPr>
        <w:pStyle w:val="BodyText"/>
        <w:rPr>
          <w:sz w:val="22"/>
          <w:szCs w:val="22"/>
        </w:rPr>
      </w:pPr>
    </w:p>
    <w:p w:rsidR="007763C4" w:rsidRPr="0063061E" w:rsidRDefault="005E105C" w:rsidP="007763C4">
      <w:pPr>
        <w:pStyle w:val="BodyText"/>
        <w:ind w:left="166"/>
        <w:rPr>
          <w:sz w:val="22"/>
          <w:szCs w:val="22"/>
        </w:rPr>
      </w:pPr>
      <w:r>
        <w:rPr>
          <w:sz w:val="22"/>
          <w:szCs w:val="22"/>
        </w:rPr>
        <w:t>Nine</w:t>
      </w:r>
      <w:r w:rsidR="007763C4" w:rsidRPr="0063061E">
        <w:rPr>
          <w:sz w:val="22"/>
          <w:szCs w:val="22"/>
        </w:rPr>
        <w:t xml:space="preserve"> states restrict the purchase of long guns by 18-20 year-olds: CA, </w:t>
      </w:r>
      <w:r w:rsidR="00142D22">
        <w:rPr>
          <w:sz w:val="22"/>
          <w:szCs w:val="22"/>
        </w:rPr>
        <w:t xml:space="preserve">DE, </w:t>
      </w:r>
      <w:r w:rsidR="007763C4" w:rsidRPr="0063061E">
        <w:rPr>
          <w:sz w:val="22"/>
          <w:szCs w:val="22"/>
        </w:rPr>
        <w:t xml:space="preserve">FL, HI, IL, NY, </w:t>
      </w:r>
      <w:r w:rsidR="005D376C">
        <w:rPr>
          <w:sz w:val="22"/>
          <w:szCs w:val="22"/>
        </w:rPr>
        <w:t xml:space="preserve">RI, </w:t>
      </w:r>
      <w:r w:rsidR="007763C4" w:rsidRPr="0063061E">
        <w:rPr>
          <w:sz w:val="22"/>
          <w:szCs w:val="22"/>
        </w:rPr>
        <w:t xml:space="preserve">VT &amp; WA. Litigation is on-going </w:t>
      </w:r>
      <w:r w:rsidR="007763C4" w:rsidRPr="0063061E">
        <w:rPr>
          <w:sz w:val="22"/>
          <w:szCs w:val="22"/>
        </w:rPr>
        <w:lastRenderedPageBreak/>
        <w:t>on these bans. In May, a panel of the 9th U.S. Circuit Court of Appeals ruled that a California law banning the sale of semi-automatic centerfire rifles to adults under 21 was unconstitutional (</w:t>
      </w:r>
      <w:r w:rsidR="007763C4" w:rsidRPr="00CA3498">
        <w:rPr>
          <w:i/>
          <w:sz w:val="22"/>
          <w:szCs w:val="22"/>
        </w:rPr>
        <w:t>Jones v. Bonta</w:t>
      </w:r>
      <w:r w:rsidR="007763C4" w:rsidRPr="0063061E">
        <w:rPr>
          <w:sz w:val="22"/>
          <w:szCs w:val="22"/>
        </w:rPr>
        <w:t>). In March, a panel of the 11th U.S. Circuit Court of Appeals heard arguments on the Florida law prohibiting the sale of rifles and shotguns by licensed dealers to adults under age 21. NRA is a plaintiff in this lawsuit (</w:t>
      </w:r>
      <w:r w:rsidR="007763C4" w:rsidRPr="00CA3498">
        <w:rPr>
          <w:i/>
          <w:sz w:val="22"/>
          <w:szCs w:val="22"/>
        </w:rPr>
        <w:t>NRA v. Swearingen</w:t>
      </w:r>
      <w:r w:rsidR="007763C4" w:rsidRPr="0063061E">
        <w:rPr>
          <w:sz w:val="22"/>
          <w:szCs w:val="22"/>
        </w:rPr>
        <w:t xml:space="preserve">).  </w:t>
      </w:r>
    </w:p>
    <w:p w:rsidR="007763C4" w:rsidRDefault="007763C4" w:rsidP="007763C4">
      <w:pPr>
        <w:pStyle w:val="BodyText"/>
        <w:ind w:left="166"/>
        <w:rPr>
          <w:sz w:val="22"/>
          <w:szCs w:val="22"/>
        </w:rPr>
      </w:pPr>
    </w:p>
    <w:p w:rsidR="009A0895" w:rsidRDefault="009A0895" w:rsidP="007763C4">
      <w:pPr>
        <w:pStyle w:val="BodyText"/>
        <w:ind w:left="166"/>
        <w:rPr>
          <w:sz w:val="22"/>
          <w:szCs w:val="22"/>
        </w:rPr>
      </w:pPr>
      <w:r>
        <w:rPr>
          <w:sz w:val="22"/>
          <w:szCs w:val="22"/>
        </w:rPr>
        <w:t xml:space="preserve">Making further state action unnecessary, the federal government has instituted a 3-10 day federal waiting period for 18-20-year-olds purchasing </w:t>
      </w:r>
      <w:r w:rsidR="00AD229D">
        <w:rPr>
          <w:sz w:val="22"/>
          <w:szCs w:val="22"/>
        </w:rPr>
        <w:t>firearms</w:t>
      </w:r>
      <w:r>
        <w:rPr>
          <w:sz w:val="22"/>
          <w:szCs w:val="22"/>
        </w:rPr>
        <w:t>. During th</w:t>
      </w:r>
      <w:r w:rsidR="00C76B46">
        <w:rPr>
          <w:sz w:val="22"/>
          <w:szCs w:val="22"/>
        </w:rPr>
        <w:t>is</w:t>
      </w:r>
      <w:r>
        <w:rPr>
          <w:sz w:val="22"/>
          <w:szCs w:val="22"/>
        </w:rPr>
        <w:t xml:space="preserve"> period, the FBI is tasked with conducting a so-called “enhanced” background check on the prospective purchaser. This includes an examination of state juvenile records and </w:t>
      </w:r>
      <w:r w:rsidR="00C76B46">
        <w:rPr>
          <w:sz w:val="22"/>
          <w:szCs w:val="22"/>
        </w:rPr>
        <w:t>contacting local law enforcement in the jurisdiction in which the purchaser resides.</w:t>
      </w:r>
      <w:r>
        <w:rPr>
          <w:sz w:val="22"/>
          <w:szCs w:val="22"/>
        </w:rPr>
        <w:t xml:space="preserve"> </w:t>
      </w:r>
    </w:p>
    <w:p w:rsidR="009A0895" w:rsidRPr="0063061E" w:rsidRDefault="009A0895" w:rsidP="007763C4">
      <w:pPr>
        <w:pStyle w:val="BodyText"/>
        <w:ind w:left="166"/>
        <w:rPr>
          <w:sz w:val="22"/>
          <w:szCs w:val="22"/>
        </w:rPr>
      </w:pPr>
    </w:p>
    <w:p w:rsidR="004F014E" w:rsidRPr="007763C4" w:rsidRDefault="007763C4" w:rsidP="007763C4">
      <w:pPr>
        <w:pStyle w:val="BodyText"/>
        <w:ind w:left="166"/>
        <w:rPr>
          <w:color w:val="040506"/>
          <w:w w:val="85"/>
          <w:sz w:val="23"/>
          <w:szCs w:val="23"/>
        </w:rPr>
      </w:pPr>
      <w:r w:rsidRPr="0063061E">
        <w:rPr>
          <w:sz w:val="22"/>
          <w:szCs w:val="22"/>
        </w:rPr>
        <w:t xml:space="preserve">In 2019, Dr. Gary Kleck published the research paper “Regulating Guns Among Young Adults” in the American Journal of Criminal Justice. This study assessed the impact of state bans on gun carrying among persons age 18 to 20 on rates of murder, robbery and aggravated assault. The results indicated no significant effect of these bans on any of the three violent crime rates. A second study assessed the impact of the federal ban on the purchase of handguns by persons aged 18 to 20. Results indicated there was no impact on the 18 to 20-year-old share of arrests for homicide, robbery, or aggravated assault. </w:t>
      </w:r>
      <w:hyperlink r:id="rId11" w:history="1">
        <w:r w:rsidRPr="0063061E">
          <w:rPr>
            <w:rStyle w:val="Hyperlink"/>
            <w:sz w:val="22"/>
            <w:szCs w:val="22"/>
          </w:rPr>
          <w:t>https://link.springer.com/journal/12103/volumes-and-issues/44-5</w:t>
        </w:r>
      </w:hyperlink>
      <w:r w:rsidRPr="007763C4">
        <w:rPr>
          <w:sz w:val="23"/>
          <w:szCs w:val="23"/>
        </w:rPr>
        <w:t xml:space="preserve"> </w:t>
      </w:r>
    </w:p>
    <w:p w:rsidR="004F014E" w:rsidRDefault="004F014E">
      <w:pPr>
        <w:pStyle w:val="BodyText"/>
        <w:ind w:left="166"/>
        <w:rPr>
          <w:color w:val="040506"/>
          <w:w w:val="85"/>
        </w:rPr>
      </w:pPr>
    </w:p>
    <w:p w:rsidR="007763C4" w:rsidRDefault="009F592A" w:rsidP="00740E3A">
      <w:pPr>
        <w:rPr>
          <w:sz w:val="24"/>
          <w:szCs w:val="24"/>
        </w:rPr>
      </w:pPr>
      <w:r>
        <w:rPr>
          <w:noProof/>
        </w:rPr>
        <mc:AlternateContent>
          <mc:Choice Requires="wps">
            <w:drawing>
              <wp:anchor distT="0" distB="0" distL="114300" distR="114300" simplePos="0" relativeHeight="251659264" behindDoc="0" locked="0" layoutInCell="1" allowOverlap="1" wp14:anchorId="53C32553" wp14:editId="007BBF57">
                <wp:simplePos x="0" y="0"/>
                <wp:positionH relativeFrom="margin">
                  <wp:align>left</wp:align>
                </wp:positionH>
                <wp:positionV relativeFrom="paragraph">
                  <wp:posOffset>5715</wp:posOffset>
                </wp:positionV>
                <wp:extent cx="7353300" cy="338455"/>
                <wp:effectExtent l="0" t="0" r="0" b="4445"/>
                <wp:wrapNone/>
                <wp:docPr id="2" name="Rectangle 2"/>
                <wp:cNvGraphicFramePr/>
                <a:graphic xmlns:a="http://schemas.openxmlformats.org/drawingml/2006/main">
                  <a:graphicData uri="http://schemas.microsoft.com/office/word/2010/wordprocessingShape">
                    <wps:wsp>
                      <wps:cNvSpPr/>
                      <wps:spPr>
                        <a:xfrm>
                          <a:off x="0" y="0"/>
                          <a:ext cx="7353300" cy="33845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40E3A" w:rsidRPr="007763C4" w:rsidRDefault="00740E3A" w:rsidP="00740E3A">
                            <w:pPr>
                              <w:rPr>
                                <w:rFonts w:ascii="Tahoma" w:hAnsi="Tahoma" w:cs="Tahoma"/>
                                <w:b/>
                                <w:sz w:val="20"/>
                                <w:szCs w:val="20"/>
                              </w:rPr>
                            </w:pPr>
                            <w:r w:rsidRPr="007763C4">
                              <w:rPr>
                                <w:rFonts w:ascii="Tahoma" w:hAnsi="Tahoma" w:cs="Tahoma"/>
                                <w:b/>
                                <w:sz w:val="20"/>
                                <w:szCs w:val="20"/>
                              </w:rPr>
                              <w:t>Magazine Limits and Semi-Automatic Firearms Bans: Failed Gun Control Studied, Not Renewed by Congress</w:t>
                            </w:r>
                          </w:p>
                          <w:p w:rsidR="00DB0D6F" w:rsidRDefault="00DB0D6F" w:rsidP="00DB0D6F">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3C32553" id="Rectangle 2" o:spid="_x0000_s1029" style="position:absolute;margin-left:0;margin-top:.45pt;width:579pt;height:26.6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" fillcolor="#c00000" stroked="f" strokeweight="2pt">
                <v:textbox>
                  <w:txbxContent>
                    <w:p w:rsidR="00740E3A" w:rsidRPr="007763C4" w:rsidRDefault="00740E3A" w:rsidP="00740E3A">
                      <w:pPr>
                        <w:rPr>
                          <w:rFonts w:ascii="Tahoma" w:hAnsi="Tahoma" w:cs="Tahoma"/>
                          <w:b/>
                          <w:sz w:val="20"/>
                          <w:szCs w:val="20"/>
                        </w:rPr>
                      </w:pPr>
                      <w:r w:rsidRPr="007763C4">
                        <w:rPr>
                          <w:rFonts w:ascii="Tahoma" w:hAnsi="Tahoma" w:cs="Tahoma"/>
                          <w:b/>
                          <w:sz w:val="20"/>
                          <w:szCs w:val="20"/>
                        </w:rPr>
                        <w:t>Magazine Limits and Semi-Automatic Firearms Bans: Failed Gun Control Studied, Not Renewed by Congress</w:t>
                      </w:r>
                    </w:p>
                    <w:p w:rsidR="00DB0D6F" w:rsidRDefault="00DB0D6F" w:rsidP="00DB0D6F">
                      <w:pPr>
                        <w:jc w:val="center"/>
                        <w:rPr>
                          <w:rFonts w:asciiTheme="majorHAnsi" w:eastAsiaTheme="majorEastAsia" w:hAnsiTheme="majorHAnsi" w:cstheme="majorBidi"/>
                          <w:color w:val="FFFFFF" w:themeColor="background1"/>
                          <w:sz w:val="24"/>
                          <w:szCs w:val="28"/>
                        </w:rPr>
                      </w:pPr>
                    </w:p>
                  </w:txbxContent>
                </v:textbox>
                <w10:wrap anchorx="margin"/>
              </v:rect>
            </w:pict>
          </mc:Fallback>
        </mc:AlternateContent>
      </w:r>
    </w:p>
    <w:p w:rsidR="007763C4" w:rsidRDefault="007763C4" w:rsidP="00740E3A">
      <w:pPr>
        <w:rPr>
          <w:sz w:val="24"/>
          <w:szCs w:val="24"/>
        </w:rPr>
      </w:pPr>
    </w:p>
    <w:p w:rsidR="009F592A" w:rsidRDefault="009F592A" w:rsidP="007763C4">
      <w:pPr>
        <w:rPr>
          <w:sz w:val="23"/>
          <w:szCs w:val="23"/>
        </w:rPr>
      </w:pPr>
    </w:p>
    <w:p w:rsidR="007763C4" w:rsidRPr="0063061E" w:rsidRDefault="007763C4" w:rsidP="007763C4">
      <w:r w:rsidRPr="0063061E">
        <w:t xml:space="preserve">Gun control advocates falsely use the term “high capacity magazines” to describe standard equipment rather than magazines which stretch a firearm’s capability beyond its intended design. They also use the term “assault weapons” to describe commonly-owned semi- (not fully-) automatic modern sporting rifles used for recreational and competitive shooting, hunting and protection. Magazines are manufactured as standard equipment for handguns and rifles that often accommodate 15 to 30 rounds of ammunition.  There are roughly 304 million detachable magazines and almost 80 million of these can accommodate more than 30 rounds.  There are approximately 20 million AR-style semiautomatic rifles in circulation in the U.S.  </w:t>
      </w:r>
    </w:p>
    <w:p w:rsidR="007763C4" w:rsidRPr="0063061E" w:rsidRDefault="007763C4" w:rsidP="007763C4"/>
    <w:p w:rsidR="00142D22" w:rsidRDefault="007763C4" w:rsidP="00142D22">
      <w:r w:rsidRPr="0063061E">
        <w:t>Department of Justice-funded study of the Clinton ban determined that “At best, the assault weapons ban can have only a limited effect on total gun murders, because the banned weapons and magazines were never involved in more than a modest fraction of all gun murders.” A 2004 follow-up Department of Justice-funded study came to a similar conclusion. The study determined that “AWs [assault weapons] and LCMs [large capacity magazines] were used in only a minority of gun crimes prior to the 1994 federal ban,” “relatively few attacks involve more than 10 shots fired,” and “the ban’s effects on gun violence are likely to be small at best and perhaps too small for reliable measurement.”  Presented with the overwhelming evidence of the ban’s inefficacy, Congress did not renew it.</w:t>
      </w:r>
      <w:r w:rsidR="00142D22">
        <w:t xml:space="preserve">  </w:t>
      </w:r>
    </w:p>
    <w:p w:rsidR="00142D22" w:rsidRDefault="00142D22" w:rsidP="00142D22"/>
    <w:p w:rsidR="00142D22" w:rsidRPr="00142D22" w:rsidRDefault="007763C4" w:rsidP="00142D22">
      <w:pPr>
        <w:rPr>
          <w:rStyle w:val="Strong"/>
          <w:b w:val="0"/>
          <w:color w:val="000000"/>
        </w:rPr>
      </w:pPr>
      <w:r w:rsidRPr="0063061E">
        <w:t xml:space="preserve">A recent survey of available research (2020) by the RAND Corporation found there is no conclusive evidence for the effect of high-capacity magazine and assault weapons bans on firearm homicides.  </w:t>
      </w:r>
      <w:hyperlink r:id="rId12" w:history="1">
        <w:r w:rsidRPr="0063061E">
          <w:rPr>
            <w:rStyle w:val="Hyperlink"/>
          </w:rPr>
          <w:t>https://www.rand.org/research/gun-policy/analysis/ban-assault-weapons/mass-shootings.html</w:t>
        </w:r>
      </w:hyperlink>
      <w:r w:rsidRPr="00142D22">
        <w:t xml:space="preserve">.  </w:t>
      </w:r>
      <w:r w:rsidR="00142D22" w:rsidRPr="00142D22">
        <w:rPr>
          <w:rStyle w:val="Strong"/>
          <w:b w:val="0"/>
          <w:color w:val="000000"/>
        </w:rPr>
        <w:t xml:space="preserve">Colorado enacted a magazine limit law (15 rounds) in 2013 and it has </w:t>
      </w:r>
      <w:r w:rsidR="00762D1F">
        <w:rPr>
          <w:rStyle w:val="Strong"/>
          <w:b w:val="0"/>
          <w:color w:val="000000"/>
        </w:rPr>
        <w:t>not</w:t>
      </w:r>
      <w:r w:rsidR="00142D22" w:rsidRPr="00142D22">
        <w:rPr>
          <w:rStyle w:val="Strong"/>
          <w:b w:val="0"/>
          <w:color w:val="000000"/>
        </w:rPr>
        <w:t xml:space="preserve"> reduced crime </w:t>
      </w:r>
      <w:r w:rsidR="00762D1F">
        <w:rPr>
          <w:rStyle w:val="Strong"/>
          <w:b w:val="0"/>
          <w:color w:val="000000"/>
        </w:rPr>
        <w:t>or</w:t>
      </w:r>
      <w:r w:rsidR="00142D22" w:rsidRPr="00142D22">
        <w:rPr>
          <w:rStyle w:val="Strong"/>
          <w:b w:val="0"/>
          <w:color w:val="000000"/>
        </w:rPr>
        <w:t xml:space="preserve"> halted mass shootings.  The number of firearm-related murders has risen every year over the last decade with the exception of one and now stands at THREE TIMES the level of 2013. This has been a failed experiment in the state next door.</w:t>
      </w:r>
    </w:p>
    <w:p w:rsidR="00E403BA" w:rsidRDefault="00E403BA" w:rsidP="007763C4"/>
    <w:p w:rsidR="00E403BA" w:rsidRDefault="00E403BA" w:rsidP="00E403BA">
      <w:r>
        <w:t xml:space="preserve">Prohibitions on commonly-owned semi-automatic firearms and their magazines violate the Second Amendment. In </w:t>
      </w:r>
      <w:r w:rsidRPr="00CA3498">
        <w:rPr>
          <w:i/>
        </w:rPr>
        <w:t>Heller</w:t>
      </w:r>
      <w:r>
        <w:t xml:space="preserve">, SCOTUS made clear that that the types of firearms protected by the Second Amendment include those “in common use at the time” for “lawful purposes like self-defense.” The AR-15, which is the favorite target of so-called “assault weapon” ban legislation, is the most popular rifle in America and therefore undoubtedly “in common use” and protected by the Second Amendment. In 2015, </w:t>
      </w:r>
      <w:r w:rsidRPr="00CA3498">
        <w:rPr>
          <w:i/>
        </w:rPr>
        <w:t>Heller</w:t>
      </w:r>
      <w:r>
        <w:t xml:space="preserve"> decision author Justice Antonin Scalia joined Justice Clarence Thomas in a dissent from the denial of certiorari </w:t>
      </w:r>
      <w:r w:rsidR="00054EA4">
        <w:t xml:space="preserve">in </w:t>
      </w:r>
      <w:r>
        <w:t>a case concerning a local ban on commonly-owned semi-automatic firearms. The document made explained,</w:t>
      </w:r>
    </w:p>
    <w:p w:rsidR="00E403BA" w:rsidRDefault="00E403BA" w:rsidP="00E403BA"/>
    <w:p w:rsidR="00E403BA" w:rsidRPr="00E403BA" w:rsidRDefault="00E403BA" w:rsidP="00E403BA">
      <w:pPr>
        <w:ind w:left="720"/>
        <w:rPr>
          <w:i/>
        </w:rPr>
      </w:pPr>
      <w:r w:rsidRPr="00E403BA">
        <w:rPr>
          <w:i/>
        </w:rPr>
        <w:t>Roughly five million Americans own AR-style semiautomatic rifles. The overwhelming majority of citizens who own and use such rifles do so for lawful purposes, including self-defense and target shooting. Under our precedents, that is all that is needed for citizens to have a right under the Second Amendment to keep such weapons.</w:t>
      </w:r>
    </w:p>
    <w:p w:rsidR="00E403BA" w:rsidRDefault="00E403BA" w:rsidP="00E403BA"/>
    <w:p w:rsidR="00B26FDE" w:rsidRDefault="00E403BA" w:rsidP="007763C4">
      <w:r>
        <w:t xml:space="preserve">In </w:t>
      </w:r>
      <w:r w:rsidRPr="00CA3498">
        <w:rPr>
          <w:i/>
        </w:rPr>
        <w:t>Bruen</w:t>
      </w:r>
      <w:r>
        <w:t>, the Court reiterated its holding that the “Second Amendment protects the possession and use of weapons that are ‘in common use at the time.’”</w:t>
      </w:r>
      <w:r w:rsidR="00CA3498">
        <w:t xml:space="preserve"> </w:t>
      </w:r>
      <w:r>
        <w:t xml:space="preserve">In addition to reiterating </w:t>
      </w:r>
      <w:r w:rsidRPr="00CA3498">
        <w:rPr>
          <w:i/>
        </w:rPr>
        <w:t>Heller</w:t>
      </w:r>
      <w:r>
        <w:t>’s holding protecting firearms “in common use,” which precludes the prohibition of commonly-owned semi-automatic firearms and their magazines, Bruen made clear that in order for a firearm regulation to be valid under the Second Amendment the government must “identify a well-established and representative historical analogue.” As there is no historical tradition of banning these items in the U.S., such a prohibition would be precluded by this standard as well.</w:t>
      </w:r>
    </w:p>
    <w:p w:rsidR="008C71A8" w:rsidRPr="00DB0D6F" w:rsidRDefault="008C71A8">
      <w:pPr>
        <w:pStyle w:val="BodyText"/>
        <w:spacing w:before="5"/>
        <w:rPr>
          <w:sz w:val="16"/>
          <w:szCs w:val="16"/>
        </w:rPr>
      </w:pPr>
    </w:p>
    <w:sectPr w:rsidR="008C71A8" w:rsidRPr="00DB0D6F" w:rsidSect="00774789">
      <w:type w:val="continuous"/>
      <w:pgSz w:w="12240" w:h="15840"/>
      <w:pgMar w:top="300" w:right="300" w:bottom="280" w:left="2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5B59" w:rsidRDefault="00C65B59" w:rsidP="00774789">
      <w:r>
        <w:separator/>
      </w:r>
    </w:p>
  </w:endnote>
  <w:endnote w:type="continuationSeparator" w:id="0">
    <w:p w:rsidR="00C65B59" w:rsidRDefault="00C65B59" w:rsidP="00774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5B59" w:rsidRDefault="00C65B59" w:rsidP="00774789">
      <w:r>
        <w:separator/>
      </w:r>
    </w:p>
  </w:footnote>
  <w:footnote w:type="continuationSeparator" w:id="0">
    <w:p w:rsidR="00C65B59" w:rsidRDefault="00C65B59" w:rsidP="00774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3C609A"/>
    <w:multiLevelType w:val="hybridMultilevel"/>
    <w:tmpl w:val="AC6669C2"/>
    <w:lvl w:ilvl="0" w:tplc="83CA85F0">
      <w:numFmt w:val="bullet"/>
      <w:lvlText w:val=""/>
      <w:lvlJc w:val="left"/>
      <w:pPr>
        <w:ind w:left="720" w:hanging="360"/>
      </w:pPr>
      <w:rPr>
        <w:rFonts w:ascii="Symbol" w:eastAsia="Times New Roman" w:hAnsi="Symbol" w:cs="Calibri"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revisionView w:inkAnnotation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1A8"/>
    <w:rsid w:val="00054EA4"/>
    <w:rsid w:val="000956FD"/>
    <w:rsid w:val="00142D22"/>
    <w:rsid w:val="001B06B9"/>
    <w:rsid w:val="001C5B3F"/>
    <w:rsid w:val="00287E01"/>
    <w:rsid w:val="002D07C7"/>
    <w:rsid w:val="00320398"/>
    <w:rsid w:val="00343D6B"/>
    <w:rsid w:val="003E682B"/>
    <w:rsid w:val="004F014E"/>
    <w:rsid w:val="005D376C"/>
    <w:rsid w:val="005E105C"/>
    <w:rsid w:val="005E6319"/>
    <w:rsid w:val="005F3559"/>
    <w:rsid w:val="00617E15"/>
    <w:rsid w:val="0063061E"/>
    <w:rsid w:val="006C7924"/>
    <w:rsid w:val="00714EFD"/>
    <w:rsid w:val="00740E3A"/>
    <w:rsid w:val="0075787C"/>
    <w:rsid w:val="00762D1F"/>
    <w:rsid w:val="00774789"/>
    <w:rsid w:val="007763C4"/>
    <w:rsid w:val="007D451B"/>
    <w:rsid w:val="008065E0"/>
    <w:rsid w:val="00864C7B"/>
    <w:rsid w:val="008C71A8"/>
    <w:rsid w:val="008D5F00"/>
    <w:rsid w:val="008E2577"/>
    <w:rsid w:val="0094714B"/>
    <w:rsid w:val="00974B6B"/>
    <w:rsid w:val="009A0895"/>
    <w:rsid w:val="009C554F"/>
    <w:rsid w:val="009D5B6D"/>
    <w:rsid w:val="009F592A"/>
    <w:rsid w:val="00A269D4"/>
    <w:rsid w:val="00A67D30"/>
    <w:rsid w:val="00AD034B"/>
    <w:rsid w:val="00AD229D"/>
    <w:rsid w:val="00B24E00"/>
    <w:rsid w:val="00B26FDE"/>
    <w:rsid w:val="00B31BBC"/>
    <w:rsid w:val="00BE217C"/>
    <w:rsid w:val="00C27279"/>
    <w:rsid w:val="00C42CF4"/>
    <w:rsid w:val="00C65B59"/>
    <w:rsid w:val="00C76B46"/>
    <w:rsid w:val="00CA30E8"/>
    <w:rsid w:val="00CA3498"/>
    <w:rsid w:val="00CD2F0F"/>
    <w:rsid w:val="00D200A3"/>
    <w:rsid w:val="00DA7FD9"/>
    <w:rsid w:val="00DB0D6F"/>
    <w:rsid w:val="00DB6D56"/>
    <w:rsid w:val="00DE3521"/>
    <w:rsid w:val="00DF79B2"/>
    <w:rsid w:val="00E403BA"/>
    <w:rsid w:val="00E53B85"/>
    <w:rsid w:val="00E55703"/>
    <w:rsid w:val="00EB0383"/>
    <w:rsid w:val="00FB3741"/>
    <w:rsid w:val="00FD1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138"/>
      <w:ind w:left="7067" w:hanging="3"/>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DB0D6F"/>
    <w:rPr>
      <w:rFonts w:ascii="Times New Roman" w:eastAsia="Times New Roman" w:hAnsi="Times New Roman" w:cs="Times New Roman"/>
      <w:sz w:val="28"/>
      <w:szCs w:val="28"/>
    </w:rPr>
  </w:style>
  <w:style w:type="character" w:styleId="Hyperlink">
    <w:name w:val="Hyperlink"/>
    <w:basedOn w:val="DefaultParagraphFont"/>
    <w:uiPriority w:val="99"/>
    <w:unhideWhenUsed/>
    <w:rsid w:val="00EB0383"/>
    <w:rPr>
      <w:color w:val="0000FF" w:themeColor="hyperlink"/>
      <w:u w:val="single"/>
    </w:rPr>
  </w:style>
  <w:style w:type="character" w:styleId="UnresolvedMention">
    <w:name w:val="Unresolved Mention"/>
    <w:basedOn w:val="DefaultParagraphFont"/>
    <w:uiPriority w:val="99"/>
    <w:semiHidden/>
    <w:unhideWhenUsed/>
    <w:rsid w:val="00EB0383"/>
    <w:rPr>
      <w:color w:val="605E5C"/>
      <w:shd w:val="clear" w:color="auto" w:fill="E1DFDD"/>
    </w:rPr>
  </w:style>
  <w:style w:type="paragraph" w:styleId="Header">
    <w:name w:val="header"/>
    <w:basedOn w:val="Normal"/>
    <w:link w:val="HeaderChar"/>
    <w:uiPriority w:val="99"/>
    <w:unhideWhenUsed/>
    <w:rsid w:val="00774789"/>
    <w:pPr>
      <w:tabs>
        <w:tab w:val="center" w:pos="4680"/>
        <w:tab w:val="right" w:pos="9360"/>
      </w:tabs>
    </w:pPr>
  </w:style>
  <w:style w:type="character" w:customStyle="1" w:styleId="HeaderChar">
    <w:name w:val="Header Char"/>
    <w:basedOn w:val="DefaultParagraphFont"/>
    <w:link w:val="Header"/>
    <w:uiPriority w:val="99"/>
    <w:rsid w:val="00774789"/>
    <w:rPr>
      <w:rFonts w:ascii="Times New Roman" w:eastAsia="Times New Roman" w:hAnsi="Times New Roman" w:cs="Times New Roman"/>
    </w:rPr>
  </w:style>
  <w:style w:type="paragraph" w:styleId="Footer">
    <w:name w:val="footer"/>
    <w:basedOn w:val="Normal"/>
    <w:link w:val="FooterChar"/>
    <w:uiPriority w:val="99"/>
    <w:unhideWhenUsed/>
    <w:rsid w:val="00774789"/>
    <w:pPr>
      <w:tabs>
        <w:tab w:val="center" w:pos="4680"/>
        <w:tab w:val="right" w:pos="9360"/>
      </w:tabs>
    </w:pPr>
  </w:style>
  <w:style w:type="character" w:customStyle="1" w:styleId="FooterChar">
    <w:name w:val="Footer Char"/>
    <w:basedOn w:val="DefaultParagraphFont"/>
    <w:link w:val="Footer"/>
    <w:uiPriority w:val="99"/>
    <w:rsid w:val="00774789"/>
    <w:rPr>
      <w:rFonts w:ascii="Times New Roman" w:eastAsia="Times New Roman" w:hAnsi="Times New Roman" w:cs="Times New Roman"/>
    </w:rPr>
  </w:style>
  <w:style w:type="paragraph" w:styleId="NormalWeb">
    <w:name w:val="Normal (Web)"/>
    <w:basedOn w:val="Normal"/>
    <w:uiPriority w:val="99"/>
    <w:semiHidden/>
    <w:unhideWhenUsed/>
    <w:rsid w:val="00142D22"/>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142D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004220">
      <w:bodyDiv w:val="1"/>
      <w:marLeft w:val="0"/>
      <w:marRight w:val="0"/>
      <w:marTop w:val="0"/>
      <w:marBottom w:val="0"/>
      <w:divBdr>
        <w:top w:val="none" w:sz="0" w:space="0" w:color="auto"/>
        <w:left w:val="none" w:sz="0" w:space="0" w:color="auto"/>
        <w:bottom w:val="none" w:sz="0" w:space="0" w:color="auto"/>
        <w:right w:val="none" w:sz="0" w:space="0" w:color="auto"/>
      </w:divBdr>
    </w:div>
    <w:div w:id="1973559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Mica@NRAHQ.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Mica@NRAHQ.org" TargetMode="External"/><Relationship Id="rId12" Type="http://schemas.openxmlformats.org/officeDocument/2006/relationships/hyperlink" Target="https://www.rand.org/research/gun-policy/analysis/ban-assault-weapons/mass-shooting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journal/12103/volumes-and-issues/44-5" TargetMode="External"/><Relationship Id="rId5" Type="http://schemas.openxmlformats.org/officeDocument/2006/relationships/footnotes" Target="footnotes.xml"/><Relationship Id="rId10" Type="http://schemas.openxmlformats.org/officeDocument/2006/relationships/hyperlink" Target="http://johnrlott.tripod.com/whitney.pdf"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2023-01-28T17:08:00Z</dcterms:created>
  <dcterms:modified xsi:type="dcterms:W3CDTF">2023-01-28T17:08:00Z</dcterms:modified>
</cp:coreProperties>
</file>