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26A" w:rsidRDefault="00CE426A" w:rsidP="00CE426A">
      <w:pPr>
        <w:pStyle w:val="NormalWeb"/>
        <w:spacing w:before="0" w:beforeAutospacing="0" w:after="0" w:afterAutospacing="0"/>
        <w:rPr>
          <w:rFonts w:ascii="Calibri" w:hAnsi="Calibri" w:cs="Calibri"/>
          <w:color w:val="000000"/>
        </w:rPr>
      </w:pPr>
      <w:r>
        <w:rPr>
          <w:rStyle w:val="Strong"/>
          <w:rFonts w:ascii="Calibri" w:hAnsi="Calibri" w:cs="Calibri"/>
          <w:color w:val="000000"/>
        </w:rPr>
        <w:t>SB 427 does not provide for more thorough background checks.  It adds no enhanced, expanded or improved federal background check on gun buyers.  </w:t>
      </w:r>
      <w:r>
        <w:rPr>
          <w:rFonts w:ascii="Calibri" w:hAnsi="Calibri" w:cs="Calibri"/>
          <w:color w:val="000000"/>
        </w:rPr>
        <w:t>A background check is already required prior to any firearm purchase in New Mexico</w:t>
      </w:r>
      <w:r>
        <w:rPr>
          <w:rStyle w:val="Strong"/>
          <w:rFonts w:ascii="Calibri" w:hAnsi="Calibri" w:cs="Calibri"/>
          <w:color w:val="000000"/>
        </w:rPr>
        <w:t>.</w:t>
      </w:r>
      <w:r>
        <w:rPr>
          <w:rFonts w:ascii="Calibri" w:hAnsi="Calibri" w:cs="Calibri"/>
          <w:color w:val="000000"/>
        </w:rPr>
        <w:t>  SB 427 prohibits the transfer of a gun by a federal firearm licensed dealer (FFL) to the buyer earlier than 14 days after the submission of the federal instant background check. </w:t>
      </w:r>
      <w:r>
        <w:rPr>
          <w:rFonts w:ascii="Calibri" w:hAnsi="Calibri" w:cs="Calibri"/>
          <w:color w:val="000000"/>
          <w:shd w:val="clear" w:color="auto" w:fill="FFFF00"/>
        </w:rPr>
        <w:t>90% of the firearm background checks conducted by FBI are INSTANT, resulting in an immediate PROCEED response to the FFL conducting the sale, </w:t>
      </w:r>
      <w:r>
        <w:rPr>
          <w:rStyle w:val="Emphasis"/>
          <w:rFonts w:ascii="Calibri" w:hAnsi="Calibri" w:cs="Calibri"/>
          <w:color w:val="000000"/>
          <w:shd w:val="clear" w:color="auto" w:fill="FFFF00"/>
        </w:rPr>
        <w:t>based on the data in the National Instant Check System (NICS) at the point of submission of the check.</w:t>
      </w:r>
      <w:r>
        <w:rPr>
          <w:rFonts w:ascii="Calibri" w:hAnsi="Calibri" w:cs="Calibri"/>
          <w:color w:val="000000"/>
          <w:shd w:val="clear" w:color="auto" w:fill="FFFF00"/>
        </w:rPr>
        <w:t> FBI won’t initiate a second check two weeks later to search for any updated crime record data in NICS.</w:t>
      </w:r>
    </w:p>
    <w:p w:rsidR="00CE426A" w:rsidRDefault="00CE426A" w:rsidP="00CE426A">
      <w:pPr>
        <w:pStyle w:val="NormalWeb"/>
        <w:spacing w:before="0" w:beforeAutospacing="0" w:after="0" w:afterAutospacing="0"/>
        <w:rPr>
          <w:rFonts w:ascii="Calibri" w:hAnsi="Calibri" w:cs="Calibri"/>
          <w:color w:val="000000"/>
        </w:rPr>
      </w:pPr>
      <w:r>
        <w:rPr>
          <w:rStyle w:val="Strong"/>
          <w:rFonts w:ascii="Calibri" w:hAnsi="Calibri" w:cs="Calibri"/>
          <w:color w:val="000000"/>
        </w:rPr>
        <w:t> </w:t>
      </w:r>
    </w:p>
    <w:p w:rsidR="00CE426A" w:rsidRDefault="00CE426A" w:rsidP="00CE426A">
      <w:pPr>
        <w:pStyle w:val="NormalWeb"/>
        <w:spacing w:before="0" w:beforeAutospacing="0" w:after="0" w:afterAutospacing="0"/>
        <w:rPr>
          <w:rFonts w:ascii="Calibri" w:hAnsi="Calibri" w:cs="Calibri"/>
          <w:color w:val="000000"/>
        </w:rPr>
      </w:pPr>
      <w:r>
        <w:rPr>
          <w:rStyle w:val="Strong"/>
          <w:rFonts w:ascii="Calibri" w:hAnsi="Calibri" w:cs="Calibri"/>
          <w:color w:val="000000"/>
          <w:shd w:val="clear" w:color="auto" w:fill="FFFF00"/>
        </w:rPr>
        <w:t>SB 427 applies to ALL firearms sales, NOT just cases where there is a DELAY response from NICS</w:t>
      </w:r>
      <w:r>
        <w:rPr>
          <w:rStyle w:val="Strong"/>
          <w:rFonts w:ascii="Calibri" w:hAnsi="Calibri" w:cs="Calibri"/>
          <w:color w:val="000000"/>
        </w:rPr>
        <w:t>.  </w:t>
      </w:r>
      <w:r>
        <w:rPr>
          <w:rFonts w:ascii="Calibri" w:hAnsi="Calibri" w:cs="Calibri"/>
          <w:color w:val="000000"/>
        </w:rPr>
        <w:t>SB 427 imposes a 14-day waiting period on the 90% of firearm background checks that are INSTANT, as well as those which are DELAYED.  </w:t>
      </w:r>
      <w:r>
        <w:rPr>
          <w:rFonts w:ascii="Calibri" w:hAnsi="Calibri" w:cs="Calibri"/>
          <w:color w:val="000000"/>
          <w:shd w:val="clear" w:color="auto" w:fill="FFFF00"/>
        </w:rPr>
        <w:t>In the case of a DELAY response from FBI on a background check, federal law prohibits an FFL from transferring a firearm for 3 full business days (so up to 5 calendar days) while </w:t>
      </w:r>
      <w:r>
        <w:rPr>
          <w:rStyle w:val="Emphasis"/>
          <w:rFonts w:ascii="Calibri" w:hAnsi="Calibri" w:cs="Calibri"/>
          <w:color w:val="000000"/>
          <w:shd w:val="clear" w:color="auto" w:fill="FFFF00"/>
        </w:rPr>
        <w:t>FBI can continue the check for up to 90 days, irrespective of any state waiting period</w:t>
      </w:r>
      <w:r>
        <w:rPr>
          <w:rFonts w:ascii="Calibri" w:hAnsi="Calibri" w:cs="Calibri"/>
          <w:color w:val="000000"/>
          <w:shd w:val="clear" w:color="auto" w:fill="FFFF00"/>
        </w:rPr>
        <w:t>. </w:t>
      </w:r>
      <w:r>
        <w:rPr>
          <w:rFonts w:ascii="Calibri" w:hAnsi="Calibri" w:cs="Calibri"/>
          <w:color w:val="000000"/>
        </w:rPr>
        <w:t>In line with federal law, individual FFLs establish policies about whether to complete the transfer after that period. If the FFL lawfully transfers a firearm after 3 business days expire, and NICS later determines that the transaction should have been denied, NICS notifies the FFL and contacts ATF to handle the case as a Firearm Retrieval Referral.  </w:t>
      </w:r>
      <w:r>
        <w:rPr>
          <w:rFonts w:ascii="Calibri" w:hAnsi="Calibri" w:cs="Calibri"/>
          <w:color w:val="000000"/>
          <w:shd w:val="clear" w:color="auto" w:fill="FFFF00"/>
        </w:rPr>
        <w:t>88% of delayed NICS checks are resolved within three business days and 94% within 10 days, according to the National Shooting Sports Foundation. </w:t>
      </w:r>
      <w:r>
        <w:rPr>
          <w:rFonts w:ascii="Calibri" w:hAnsi="Calibri" w:cs="Calibri"/>
          <w:color w:val="000000"/>
        </w:rPr>
        <w:t> In 2021, a minuscule 0.014% of transferred firearms were referred to ATF for retrieval because the purchaser turned out to be a prohibited person, according to the FIX NICS September 2022 report.</w:t>
      </w:r>
    </w:p>
    <w:p w:rsidR="00CE426A" w:rsidRDefault="00CE426A" w:rsidP="00CE426A">
      <w:pPr>
        <w:pStyle w:val="NormalWeb"/>
        <w:spacing w:before="0" w:beforeAutospacing="0" w:after="0" w:afterAutospacing="0"/>
        <w:rPr>
          <w:rFonts w:ascii="Calibri" w:hAnsi="Calibri" w:cs="Calibri"/>
          <w:color w:val="000000"/>
        </w:rPr>
      </w:pPr>
      <w:r>
        <w:rPr>
          <w:rFonts w:ascii="Calibri" w:hAnsi="Calibri" w:cs="Calibri"/>
          <w:color w:val="000000"/>
        </w:rPr>
        <w:t> </w:t>
      </w:r>
    </w:p>
    <w:p w:rsidR="00CE426A" w:rsidRDefault="00CE426A" w:rsidP="00CE426A">
      <w:pPr>
        <w:pStyle w:val="NormalWeb"/>
        <w:spacing w:before="0" w:beforeAutospacing="0" w:after="0" w:afterAutospacing="0"/>
        <w:rPr>
          <w:rFonts w:ascii="Calibri" w:hAnsi="Calibri" w:cs="Calibri"/>
          <w:color w:val="000000"/>
        </w:rPr>
      </w:pPr>
      <w:r>
        <w:rPr>
          <w:rStyle w:val="Strong"/>
          <w:rFonts w:ascii="Calibri" w:hAnsi="Calibri" w:cs="Calibri"/>
          <w:color w:val="000000"/>
        </w:rPr>
        <w:t>SB 427 will not provide a “cooling off” period for gun buyers to prevent impulsive acts of self-harm or crime, especially among New Mexico youth. </w:t>
      </w:r>
      <w:r>
        <w:rPr>
          <w:rFonts w:ascii="Calibri" w:hAnsi="Calibri" w:cs="Calibri"/>
          <w:color w:val="000000"/>
        </w:rPr>
        <w:t xml:space="preserve">You must be at least 21 years of age to purchase a handgun and at least 18 to purchase a rifle or a shotgun.  As part of the Bipartisan Safer Communities Act of 2022, Congress instituted a </w:t>
      </w:r>
      <w:proofErr w:type="gramStart"/>
      <w:r>
        <w:rPr>
          <w:rFonts w:ascii="Calibri" w:hAnsi="Calibri" w:cs="Calibri"/>
          <w:color w:val="000000"/>
        </w:rPr>
        <w:t>3-10 day</w:t>
      </w:r>
      <w:proofErr w:type="gramEnd"/>
      <w:r>
        <w:rPr>
          <w:rFonts w:ascii="Calibri" w:hAnsi="Calibri" w:cs="Calibri"/>
          <w:color w:val="000000"/>
        </w:rPr>
        <w:t xml:space="preserve"> federal waiting period for 18-20-year-olds purchasing firearms for FBI to conduct an examination of state juvenile records which are not necessarily reported to NICS.  No data is available to show whether this will have an impact on suicides or firearm-related crime by this age group.  2/3 of gun buyers already own a firearm, so a “cooling-off” period for these people could not possibly have an effect on them.  Anecdotal evidence about that a person who purchases a firearm and then immediately uses it to harm themselves or somebody else is just that: anecdotal. </w:t>
      </w:r>
      <w:r>
        <w:rPr>
          <w:rFonts w:ascii="Calibri" w:hAnsi="Calibri" w:cs="Calibri"/>
          <w:color w:val="000000"/>
          <w:shd w:val="clear" w:color="auto" w:fill="FFFF00"/>
        </w:rPr>
        <w:t>There is no scientific evidence that waiting periods have an effect on suicide, homicide, or mass shootings. And according to ATF, the average time-to-crime for firearms traced by the agency is nearly nine years, so the idea that guns are often used in crimes of passion or impulsive actions right after purchase is not supported by anything other than anecdotal evidence.</w:t>
      </w:r>
    </w:p>
    <w:p w:rsidR="00CE426A" w:rsidRDefault="00CE426A" w:rsidP="00CE426A">
      <w:pPr>
        <w:pStyle w:val="NormalWeb"/>
        <w:spacing w:before="0" w:beforeAutospacing="0" w:after="0" w:afterAutospacing="0"/>
        <w:rPr>
          <w:rFonts w:ascii="Calibri" w:hAnsi="Calibri" w:cs="Calibri"/>
          <w:color w:val="000000"/>
        </w:rPr>
      </w:pPr>
      <w:r>
        <w:rPr>
          <w:rFonts w:ascii="Calibri" w:hAnsi="Calibri" w:cs="Calibri"/>
          <w:color w:val="000000"/>
        </w:rPr>
        <w:t> </w:t>
      </w:r>
    </w:p>
    <w:p w:rsidR="00CE426A" w:rsidRDefault="00CE426A" w:rsidP="00CE426A">
      <w:pPr>
        <w:pStyle w:val="NormalWeb"/>
        <w:spacing w:before="0" w:beforeAutospacing="0" w:after="0" w:afterAutospacing="0"/>
        <w:rPr>
          <w:rFonts w:ascii="Calibri" w:hAnsi="Calibri" w:cs="Calibri"/>
          <w:color w:val="000000"/>
        </w:rPr>
      </w:pPr>
      <w:r>
        <w:rPr>
          <w:rStyle w:val="Strong"/>
          <w:rFonts w:ascii="Calibri" w:hAnsi="Calibri" w:cs="Calibri"/>
          <w:color w:val="000000"/>
        </w:rPr>
        <w:t>If New Mexico domestic violence misdemeanor convictions and protective orders issued are not being reported into NICS in a timely fashion, SB 427’s two-week waiting period is the least effective and most intrusive means of addressing the problem.</w:t>
      </w:r>
    </w:p>
    <w:p w:rsidR="00CE426A" w:rsidRDefault="00CE426A" w:rsidP="00CE426A">
      <w:pPr>
        <w:pStyle w:val="NormalWeb"/>
        <w:spacing w:before="0" w:beforeAutospacing="0" w:after="0" w:afterAutospacing="0"/>
        <w:rPr>
          <w:rFonts w:ascii="Calibri" w:hAnsi="Calibri" w:cs="Calibri"/>
          <w:color w:val="000000"/>
        </w:rPr>
      </w:pPr>
      <w:r>
        <w:rPr>
          <w:rStyle w:val="Strong"/>
          <w:rFonts w:ascii="Calibri" w:hAnsi="Calibri" w:cs="Calibri"/>
          <w:color w:val="000000"/>
        </w:rPr>
        <w:t> </w:t>
      </w:r>
    </w:p>
    <w:p w:rsidR="00CE426A" w:rsidRDefault="00CE426A" w:rsidP="00CE426A">
      <w:pPr>
        <w:pStyle w:val="NormalWeb"/>
        <w:spacing w:before="0" w:beforeAutospacing="0" w:after="0" w:afterAutospacing="0"/>
        <w:rPr>
          <w:rFonts w:ascii="Calibri" w:hAnsi="Calibri" w:cs="Calibri"/>
          <w:color w:val="000000"/>
        </w:rPr>
      </w:pPr>
      <w:r>
        <w:rPr>
          <w:rFonts w:ascii="Calibri" w:hAnsi="Calibri" w:cs="Calibri"/>
          <w:color w:val="000000"/>
          <w:shd w:val="clear" w:color="auto" w:fill="FFFF00"/>
        </w:rPr>
        <w:lastRenderedPageBreak/>
        <w:t>A background check is only as thorough as the records in the NICS database.  If record reporting is an issue, SB 427 does nothing to correct it.  There is already a law in New Mexico (NMSA 34-9-19) that requires the Administrative Office of the Courts to report records of adjudications of mental defectiveness and court-ordered commitments to NICS.  The Legislature could amend this law and require the reporting of disqualifying DV misdemeanor convictions or records of protective orders to NICS -- and add that it must be done within a time-certain.  Texas, for instance, requires this to be done within five business days.  This approach to keeping firearms out of the wrong hands would certainly be preferable to making persons with no criminal records wait 14 days to exercise their right to purchase and own firearms.</w:t>
      </w:r>
    </w:p>
    <w:p w:rsidR="00FE4769" w:rsidRDefault="00FE4769"/>
    <w:p w:rsidR="00B67737" w:rsidRPr="00B67737" w:rsidRDefault="006F1DD8">
      <w:pPr>
        <w:rPr>
          <w:sz w:val="24"/>
          <w:szCs w:val="24"/>
        </w:rPr>
      </w:pPr>
      <w:r w:rsidRPr="00B67737">
        <w:rPr>
          <w:b/>
          <w:sz w:val="24"/>
          <w:szCs w:val="24"/>
        </w:rPr>
        <w:t xml:space="preserve">Senate Bill 427 will disproportionately </w:t>
      </w:r>
      <w:r w:rsidR="00B67737" w:rsidRPr="00B67737">
        <w:rPr>
          <w:b/>
          <w:sz w:val="24"/>
          <w:szCs w:val="24"/>
        </w:rPr>
        <w:t>impact gun buyers in rural New Mexico.</w:t>
      </w:r>
      <w:r w:rsidR="00B67737">
        <w:rPr>
          <w:b/>
          <w:sz w:val="24"/>
          <w:szCs w:val="24"/>
        </w:rPr>
        <w:t xml:space="preserve">  </w:t>
      </w:r>
      <w:r w:rsidR="00B67737">
        <w:rPr>
          <w:sz w:val="24"/>
          <w:szCs w:val="24"/>
        </w:rPr>
        <w:t xml:space="preserve">FFLs in rural areas have a customer radius of up to 100 miles.  And while customers </w:t>
      </w:r>
      <w:bookmarkStart w:id="0" w:name="_GoBack"/>
      <w:bookmarkEnd w:id="0"/>
      <w:r w:rsidR="00B67737">
        <w:rPr>
          <w:sz w:val="24"/>
          <w:szCs w:val="24"/>
        </w:rPr>
        <w:t xml:space="preserve">can shop online, in order to take delivery of a firearm of a firearm, they must physically go to an FFL to fill out their Form 4473 and initiate the background check.  Then they must drive home and wait two weeks before returning to pick up the firearm at the FFL – even if the background check response from FBI came back as a PROCEED during the first visit.  </w:t>
      </w:r>
      <w:r w:rsidR="00B67737" w:rsidRPr="00B67737">
        <w:rPr>
          <w:sz w:val="24"/>
          <w:szCs w:val="24"/>
          <w:highlight w:val="yellow"/>
        </w:rPr>
        <w:t xml:space="preserve">That could add up to a </w:t>
      </w:r>
      <w:proofErr w:type="gramStart"/>
      <w:r w:rsidR="00B67737" w:rsidRPr="00B67737">
        <w:rPr>
          <w:sz w:val="24"/>
          <w:szCs w:val="24"/>
          <w:highlight w:val="yellow"/>
        </w:rPr>
        <w:t>400 mile</w:t>
      </w:r>
      <w:proofErr w:type="gramEnd"/>
      <w:r w:rsidR="00B67737" w:rsidRPr="00B67737">
        <w:rPr>
          <w:sz w:val="24"/>
          <w:szCs w:val="24"/>
          <w:highlight w:val="yellow"/>
        </w:rPr>
        <w:t xml:space="preserve"> journey on top of a two-week wait for a law-abiding citizen in rural New Mexico to buy a new gun.</w:t>
      </w:r>
    </w:p>
    <w:sectPr w:rsidR="00B67737" w:rsidRPr="00B67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26A"/>
    <w:rsid w:val="006F1DD8"/>
    <w:rsid w:val="00B67737"/>
    <w:rsid w:val="00CE426A"/>
    <w:rsid w:val="00FE4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DD58F"/>
  <w15:chartTrackingRefBased/>
  <w15:docId w15:val="{5F19D1CC-6A33-4166-A47B-F9BBC795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42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426A"/>
    <w:rPr>
      <w:b/>
      <w:bCs/>
    </w:rPr>
  </w:style>
  <w:style w:type="character" w:styleId="Emphasis">
    <w:name w:val="Emphasis"/>
    <w:basedOn w:val="DefaultParagraphFont"/>
    <w:uiPriority w:val="20"/>
    <w:qFormat/>
    <w:rsid w:val="00CE42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49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National Rifle Association</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TMica</dc:creator>
  <cp:keywords/>
  <dc:description/>
  <cp:lastModifiedBy>TMica</cp:lastModifiedBy>
  <cp:revision>2</cp:revision>
  <dcterms:created xsi:type="dcterms:W3CDTF">2023-03-08T17:19:00Z</dcterms:created>
  <dcterms:modified xsi:type="dcterms:W3CDTF">2023-03-08T17:36:00Z</dcterms:modified>
</cp:coreProperties>
</file>